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56A3E" w:rsidRDefault="00696728">
      <w:pPr>
        <w:pStyle w:val="a7"/>
        <w:widowControl/>
        <w:tabs>
          <w:tab w:val="left" w:pos="5250"/>
        </w:tabs>
        <w:spacing w:beforeAutospacing="0" w:afterAutospacing="0" w:line="360" w:lineRule="auto"/>
        <w:jc w:val="center"/>
        <w:rPr>
          <w:rStyle w:val="a8"/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6BB94" wp14:editId="6546DA6E">
                <wp:simplePos x="0" y="0"/>
                <wp:positionH relativeFrom="column">
                  <wp:posOffset>5639435</wp:posOffset>
                </wp:positionH>
                <wp:positionV relativeFrom="paragraph">
                  <wp:posOffset>41910</wp:posOffset>
                </wp:positionV>
                <wp:extent cx="847725" cy="238125"/>
                <wp:effectExtent l="0" t="0" r="28575" b="285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96728" w:rsidRDefault="00696728" w:rsidP="006967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版本：</w:t>
                            </w:r>
                            <w:r w:rsidR="00844EE6"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6BB94" id="Rectangle 5" o:spid="_x0000_s1026" style="position:absolute;left:0;text-align:left;margin-left:444.05pt;margin-top:3.3pt;width:6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">
                <v:textbox inset=".5mm,.3mm,.5mm,.3mm">
                  <w:txbxContent>
                    <w:p w:rsidR="00696728" w:rsidRDefault="00696728" w:rsidP="006967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版本：</w:t>
                      </w:r>
                      <w:r w:rsidR="00844EE6">
                        <w:t>A</w:t>
                      </w:r>
                      <w:r>
                        <w:rPr>
                          <w:rFonts w:hint="eastAsia"/>
                        </w:rPr>
                        <w:t>版</w:t>
                      </w:r>
                    </w:p>
                  </w:txbxContent>
                </v:textbox>
              </v:rect>
            </w:pict>
          </mc:Fallback>
        </mc:AlternateContent>
      </w:r>
      <w:r w:rsidR="005E4E11">
        <w:rPr>
          <w:noProof/>
        </w:rPr>
        <w:drawing>
          <wp:anchor distT="0" distB="0" distL="114300" distR="114300" simplePos="0" relativeHeight="251655168" behindDoc="0" locked="0" layoutInCell="1" allowOverlap="1" wp14:anchorId="331E51E5" wp14:editId="2D387C9C">
            <wp:simplePos x="0" y="0"/>
            <wp:positionH relativeFrom="column">
              <wp:posOffset>20596</wp:posOffset>
            </wp:positionH>
            <wp:positionV relativeFrom="paragraph">
              <wp:posOffset>-235060</wp:posOffset>
            </wp:positionV>
            <wp:extent cx="721718" cy="197485"/>
            <wp:effectExtent l="0" t="0" r="2540" b="0"/>
            <wp:wrapNone/>
            <wp:docPr id="723112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16F6E58F-A9C1-463B-8C37-860DCC9B01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112" name="图片 2">
                      <a:extLst>
                        <a:ext uri="{FF2B5EF4-FFF2-40B4-BE49-F238E27FC236}">
                          <a16:creationId xmlns:a16="http://schemas.microsoft.com/office/drawing/2014/main" id="{16F6E58F-A9C1-463B-8C37-860DCC9B01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07" cy="19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90C">
        <w:rPr>
          <w:rStyle w:val="a8"/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生命周期评价报告</w:t>
      </w:r>
    </w:p>
    <w:p w:rsidR="00924153" w:rsidRPr="00475E4B" w:rsidRDefault="00BD73D2" w:rsidP="00696728">
      <w:pPr>
        <w:jc w:val="left"/>
        <w:rPr>
          <w:rFonts w:ascii="仿宋" w:eastAsia="仿宋" w:hAnsi="仿宋"/>
          <w:sz w:val="28"/>
          <w:szCs w:val="28"/>
        </w:rPr>
      </w:pPr>
      <w:r w:rsidRPr="00475E4B">
        <w:rPr>
          <w:rFonts w:ascii="仿宋" w:eastAsia="仿宋" w:hAnsi="仿宋" w:hint="eastAsia"/>
          <w:sz w:val="28"/>
          <w:szCs w:val="28"/>
        </w:rPr>
        <w:t>编号：</w:t>
      </w:r>
      <w:r w:rsidRPr="00475E4B">
        <w:rPr>
          <w:rFonts w:ascii="仿宋" w:eastAsia="仿宋" w:hAnsi="仿宋"/>
          <w:sz w:val="28"/>
          <w:szCs w:val="28"/>
        </w:rPr>
        <w:t>S</w:t>
      </w:r>
      <w:r w:rsidR="006C15FE" w:rsidRPr="00475E4B">
        <w:rPr>
          <w:rFonts w:ascii="仿宋" w:eastAsia="仿宋" w:hAnsi="仿宋" w:hint="eastAsia"/>
          <w:sz w:val="28"/>
          <w:szCs w:val="28"/>
        </w:rPr>
        <w:t>TNM-JSG34-01</w:t>
      </w:r>
      <w:r w:rsidRPr="00475E4B"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 w:rsidRPr="00475E4B">
        <w:rPr>
          <w:rFonts w:ascii="仿宋" w:eastAsia="仿宋" w:hAnsi="仿宋"/>
          <w:sz w:val="28"/>
          <w:szCs w:val="28"/>
        </w:rPr>
        <w:t xml:space="preserve">          </w:t>
      </w:r>
      <w:r w:rsidR="006C15FE" w:rsidRPr="00475E4B">
        <w:rPr>
          <w:rFonts w:ascii="仿宋" w:eastAsia="仿宋" w:hAnsi="仿宋"/>
          <w:sz w:val="28"/>
          <w:szCs w:val="28"/>
        </w:rPr>
        <w:t xml:space="preserve">  </w:t>
      </w:r>
      <w:r w:rsidRPr="00475E4B">
        <w:rPr>
          <w:rFonts w:ascii="仿宋" w:eastAsia="仿宋" w:hAnsi="仿宋" w:hint="eastAsia"/>
          <w:sz w:val="28"/>
          <w:szCs w:val="28"/>
        </w:rPr>
        <w:t>No.：</w:t>
      </w:r>
      <w:r w:rsidR="00844EE6">
        <w:rPr>
          <w:rFonts w:ascii="仿宋" w:eastAsia="仿宋" w:hAnsi="仿宋"/>
          <w:sz w:val="28"/>
          <w:szCs w:val="28"/>
        </w:rPr>
        <w:t>JS202100</w:t>
      </w:r>
      <w:r w:rsidR="000C7891">
        <w:rPr>
          <w:rFonts w:ascii="仿宋" w:eastAsia="仿宋" w:hAnsi="仿宋"/>
          <w:sz w:val="28"/>
          <w:szCs w:val="28"/>
        </w:rPr>
        <w:t>2</w:t>
      </w:r>
    </w:p>
    <w:p w:rsidR="00756A3E" w:rsidRDefault="00F1290C">
      <w:pPr>
        <w:pStyle w:val="a7"/>
        <w:widowControl/>
        <w:spacing w:beforeAutospacing="0" w:afterAutospacing="0"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1、主要内容</w:t>
      </w:r>
    </w:p>
    <w:p w:rsidR="00756A3E" w:rsidRDefault="00F1290C">
      <w:pPr>
        <w:pStyle w:val="a7"/>
        <w:widowControl/>
        <w:spacing w:beforeAutospacing="0" w:afterAutospacing="0"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1）确定LCA的目标、全生命周期范围和系统边界；</w:t>
      </w:r>
    </w:p>
    <w:p w:rsidR="00756A3E" w:rsidRDefault="00F1290C">
      <w:pPr>
        <w:pStyle w:val="a7"/>
        <w:widowControl/>
        <w:spacing w:beforeAutospacing="0" w:afterAutospacing="0"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2）确定各流程输入（原料、辅料和能源等）和输出（产品，向空气、水、土壤中的排放及固体废物），并对各流程影响形成清单数据，进行定量评价；</w:t>
      </w:r>
    </w:p>
    <w:p w:rsidR="00756A3E" w:rsidRDefault="00F1290C">
      <w:pPr>
        <w:pStyle w:val="a7"/>
        <w:widowControl/>
        <w:spacing w:beforeAutospacing="0" w:afterAutospacing="0"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3）结果说明。</w:t>
      </w:r>
      <w:bookmarkStart w:id="0" w:name="_GoBack"/>
      <w:bookmarkEnd w:id="0"/>
    </w:p>
    <w:p w:rsidR="00756A3E" w:rsidRDefault="00F1290C">
      <w:pPr>
        <w:pStyle w:val="a7"/>
        <w:widowControl/>
        <w:spacing w:beforeAutospacing="0" w:afterAutospacing="0"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2、研究方法</w:t>
      </w:r>
    </w:p>
    <w:p w:rsidR="00756A3E" w:rsidRDefault="00F1290C">
      <w:pPr>
        <w:pStyle w:val="a7"/>
        <w:widowControl/>
        <w:spacing w:beforeAutospacing="0" w:afterAutospacing="0"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2.1 </w:t>
      </w:r>
      <w:r w:rsidR="0051753E">
        <w:rPr>
          <w:rFonts w:ascii="仿宋_GB2312" w:eastAsia="仿宋_GB2312" w:hAnsi="仿宋_GB2312" w:cs="仿宋_GB2312" w:hint="eastAsia"/>
          <w:bCs/>
          <w:sz w:val="28"/>
          <w:szCs w:val="28"/>
        </w:rPr>
        <w:t>目标和生命</w:t>
      </w:r>
      <w:r w:rsidR="0051753E">
        <w:rPr>
          <w:rFonts w:ascii="仿宋_GB2312" w:eastAsia="仿宋_GB2312" w:hAnsi="仿宋_GB2312" w:cs="仿宋_GB2312"/>
          <w:bCs/>
          <w:sz w:val="28"/>
          <w:szCs w:val="28"/>
        </w:rPr>
        <w:t>周期范围</w:t>
      </w:r>
    </w:p>
    <w:p w:rsidR="00756A3E" w:rsidRDefault="00CD1872">
      <w:pPr>
        <w:pStyle w:val="a7"/>
        <w:widowControl/>
        <w:spacing w:beforeAutospacing="0" w:afterAutospacing="0" w:line="360" w:lineRule="auto"/>
        <w:ind w:firstLineChars="125" w:firstLine="35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在社会经济系统中铝中间合金</w:t>
      </w:r>
      <w:r w:rsidR="00F1290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产品的生命周期研究范围可以划分为</w:t>
      </w:r>
      <w:r w:rsidR="00146BD1"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4</w:t>
      </w:r>
      <w:r w:rsidR="00F1290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个阶段：</w:t>
      </w:r>
      <w:r w:rsidR="00146BD1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设计-</w:t>
      </w:r>
      <w:r w:rsidR="00F1290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原料投入-</w:t>
      </w:r>
      <w:r w:rsidR="00377AE0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铝中间合金产品生产</w:t>
      </w:r>
      <w:r w:rsidR="00F1290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加工-</w:t>
      </w:r>
      <w:r w:rsidR="00377AE0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回收</w:t>
      </w:r>
      <w:r w:rsidR="00377AE0"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利用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。铝晶粒细化剂</w:t>
      </w:r>
      <w:r w:rsidR="00F1290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的生命周期研究范围可以划分为</w:t>
      </w:r>
      <w:r w:rsidR="00146BD1"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4</w:t>
      </w:r>
      <w:r w:rsidR="00F1290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个阶段：</w:t>
      </w:r>
      <w:r w:rsidR="00146BD1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设计-</w:t>
      </w:r>
      <w:r w:rsidR="00F1290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原料投入-</w:t>
      </w:r>
      <w:r w:rsidR="00377AE0" w:rsidRPr="00CD1872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铝晶粒细化剂</w:t>
      </w:r>
      <w:r w:rsidR="00F1290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产品</w:t>
      </w:r>
      <w:r w:rsidR="00377AE0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生产</w:t>
      </w:r>
      <w:r w:rsidR="00F1290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加工-</w:t>
      </w:r>
      <w:r w:rsidR="00377AE0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回收</w:t>
      </w:r>
      <w:r w:rsidR="00377AE0"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利用</w:t>
      </w:r>
      <w:r w:rsidR="00F1290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。</w:t>
      </w:r>
    </w:p>
    <w:p w:rsidR="00756A3E" w:rsidRDefault="00A767AB">
      <w:pPr>
        <w:pStyle w:val="a7"/>
        <w:widowControl/>
        <w:spacing w:beforeAutospacing="0" w:afterAutospacing="0" w:line="360" w:lineRule="auto"/>
        <w:ind w:firstLineChars="150" w:firstLine="42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产品加工</w:t>
      </w:r>
      <w:r w:rsidR="00292A4D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过程中产生的</w:t>
      </w:r>
      <w:r w:rsidR="002B43DC" w:rsidRPr="002B43D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边废料(工艺废料)</w:t>
      </w:r>
      <w:r w:rsidR="006315BB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：可作为原料</w:t>
      </w:r>
      <w:r w:rsidR="00585FC3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回收</w:t>
      </w:r>
      <w:r w:rsidR="00585FC3"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利用</w:t>
      </w:r>
      <w:r w:rsidR="006F0B61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，</w:t>
      </w:r>
      <w:r w:rsidR="006F0B61">
        <w:rPr>
          <w:rFonts w:ascii="仿宋_GB2312" w:eastAsia="仿宋_GB2312" w:hAnsi="仿宋_GB2312" w:cs="仿宋_GB2312"/>
          <w:bCs/>
          <w:sz w:val="28"/>
          <w:szCs w:val="28"/>
        </w:rPr>
        <w:t>回收目标为</w:t>
      </w:r>
      <w:r w:rsidR="006F0B61">
        <w:rPr>
          <w:rFonts w:ascii="仿宋_GB2312" w:eastAsia="仿宋_GB2312" w:hAnsi="仿宋_GB2312" w:cs="仿宋_GB2312" w:hint="eastAsia"/>
          <w:bCs/>
          <w:sz w:val="28"/>
          <w:szCs w:val="28"/>
        </w:rPr>
        <w:t>100</w:t>
      </w:r>
      <w:r w:rsidR="006F0B61">
        <w:rPr>
          <w:rFonts w:ascii="仿宋_GB2312" w:eastAsia="仿宋_GB2312" w:hAnsi="仿宋_GB2312" w:cs="仿宋_GB2312"/>
          <w:bCs/>
          <w:sz w:val="28"/>
          <w:szCs w:val="28"/>
        </w:rPr>
        <w:t>%</w:t>
      </w:r>
      <w:r w:rsidR="00F1290C"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。</w:t>
      </w:r>
    </w:p>
    <w:p w:rsidR="00756A3E" w:rsidRDefault="00A767AB" w:rsidP="00052A0C">
      <w:pPr>
        <w:pStyle w:val="a7"/>
        <w:widowControl/>
        <w:spacing w:beforeAutospacing="0" w:afterAutospacing="0" w:line="360" w:lineRule="auto"/>
        <w:ind w:firstLineChars="125" w:firstLine="35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铝灰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交由有资质公司进行处理。</w:t>
      </w:r>
    </w:p>
    <w:p w:rsidR="00756A3E" w:rsidRDefault="00BD5A3B">
      <w:pPr>
        <w:pStyle w:val="a7"/>
        <w:widowControl/>
        <w:spacing w:beforeAutospacing="0" w:afterAutospacing="0" w:line="360" w:lineRule="auto"/>
        <w:ind w:firstLineChars="125" w:firstLine="35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故与我公司有关的过程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包括</w:t>
      </w:r>
      <w:r w:rsidR="00B87376">
        <w:rPr>
          <w:rFonts w:ascii="仿宋_GB2312" w:eastAsia="仿宋_GB2312" w:hAnsi="仿宋_GB2312" w:cs="仿宋_GB2312" w:hint="eastAsia"/>
          <w:bCs/>
          <w:sz w:val="28"/>
          <w:szCs w:val="28"/>
        </w:rPr>
        <w:t>设计、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原料投入、产品</w:t>
      </w:r>
      <w:r w:rsidR="00525BDC">
        <w:rPr>
          <w:rFonts w:ascii="仿宋_GB2312" w:eastAsia="仿宋_GB2312" w:hAnsi="仿宋_GB2312" w:cs="仿宋_GB2312" w:hint="eastAsia"/>
          <w:bCs/>
          <w:sz w:val="28"/>
          <w:szCs w:val="28"/>
        </w:rPr>
        <w:t>生产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加工</w:t>
      </w:r>
      <w:r w:rsidR="00525BDC">
        <w:rPr>
          <w:rFonts w:ascii="仿宋_GB2312" w:eastAsia="仿宋_GB2312" w:hAnsi="仿宋_GB2312" w:cs="仿宋_GB2312" w:hint="eastAsia"/>
          <w:bCs/>
          <w:sz w:val="28"/>
          <w:szCs w:val="28"/>
        </w:rPr>
        <w:t>、</w:t>
      </w:r>
      <w:r w:rsidR="00525BDC">
        <w:rPr>
          <w:rFonts w:ascii="仿宋_GB2312" w:eastAsia="仿宋_GB2312" w:hAnsi="仿宋_GB2312" w:cs="仿宋_GB2312"/>
          <w:bCs/>
          <w:sz w:val="28"/>
          <w:szCs w:val="28"/>
        </w:rPr>
        <w:t>回收利用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。</w:t>
      </w:r>
    </w:p>
    <w:p w:rsidR="00756A3E" w:rsidRDefault="00F1290C">
      <w:pPr>
        <w:pStyle w:val="a7"/>
        <w:widowControl/>
        <w:spacing w:beforeAutospacing="0" w:afterAutospacing="0"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2.2系统边界界定：评价对象为1t</w:t>
      </w:r>
      <w:r w:rsidR="00A767AB">
        <w:rPr>
          <w:rFonts w:ascii="仿宋_GB2312" w:eastAsia="仿宋_GB2312" w:hAnsi="仿宋_GB2312" w:cs="仿宋_GB2312" w:hint="eastAsia"/>
          <w:bCs/>
          <w:sz w:val="28"/>
          <w:szCs w:val="28"/>
        </w:rPr>
        <w:t>的铝中间合金、铝晶粒细化剂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产品。</w:t>
      </w:r>
    </w:p>
    <w:p w:rsidR="00756A3E" w:rsidRDefault="005863C6" w:rsidP="00052A0C">
      <w:pPr>
        <w:pStyle w:val="a7"/>
        <w:widowControl/>
        <w:spacing w:beforeAutospacing="0" w:afterAutospacing="0" w:line="360" w:lineRule="auto"/>
        <w:ind w:firstLineChars="1050" w:firstLine="295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铝中间合金</w:t>
      </w:r>
      <w:r w:rsidR="00F1290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产品生命周期评价范围</w:t>
      </w:r>
    </w:p>
    <w:p w:rsidR="00756A3E" w:rsidRDefault="00525BDC">
      <w:pPr>
        <w:pStyle w:val="a7"/>
        <w:widowControl/>
        <w:spacing w:beforeAutospacing="0" w:afterAutospacing="0"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 w:rsidRPr="00525BDC">
        <w:rPr>
          <w:rFonts w:ascii="仿宋_GB2312" w:eastAsia="仿宋_GB2312" w:hAnsi="仿宋_GB2312" w:cs="仿宋_GB2312" w:hint="eastAsia"/>
          <w:bCs/>
          <w:sz w:val="28"/>
          <w:szCs w:val="28"/>
        </w:rPr>
        <w:t>铝中间合金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生产工艺流程图：</w:t>
      </w:r>
    </w:p>
    <w:p w:rsidR="00756A3E" w:rsidRDefault="00052A0C">
      <w:pPr>
        <w:pStyle w:val="a7"/>
        <w:widowControl/>
        <w:spacing w:beforeAutospacing="0" w:afterAutospacing="0" w:line="360" w:lineRule="auto"/>
        <w:jc w:val="center"/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5680" behindDoc="0" locked="0" layoutInCell="1" allowOverlap="1" wp14:anchorId="16F95A52" wp14:editId="770ABB53">
            <wp:simplePos x="0" y="0"/>
            <wp:positionH relativeFrom="column">
              <wp:posOffset>887399</wp:posOffset>
            </wp:positionH>
            <wp:positionV relativeFrom="paragraph">
              <wp:posOffset>189865</wp:posOffset>
            </wp:positionV>
            <wp:extent cx="4551528" cy="2033348"/>
            <wp:effectExtent l="0" t="0" r="1905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锭状中间合金工艺流程图-ASI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528" cy="2033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63C6" w:rsidRDefault="005863C6">
      <w:pPr>
        <w:pStyle w:val="a7"/>
        <w:widowControl/>
        <w:spacing w:beforeAutospacing="0" w:afterAutospacing="0" w:line="360" w:lineRule="auto"/>
        <w:jc w:val="center"/>
        <w:rPr>
          <w:noProof/>
        </w:rPr>
      </w:pPr>
    </w:p>
    <w:p w:rsidR="005863C6" w:rsidRDefault="005863C6">
      <w:pPr>
        <w:pStyle w:val="a7"/>
        <w:widowControl/>
        <w:spacing w:beforeAutospacing="0" w:afterAutospacing="0" w:line="360" w:lineRule="auto"/>
        <w:jc w:val="center"/>
        <w:rPr>
          <w:noProof/>
        </w:rPr>
      </w:pPr>
    </w:p>
    <w:p w:rsidR="005863C6" w:rsidRDefault="005863C6">
      <w:pPr>
        <w:pStyle w:val="a7"/>
        <w:widowControl/>
        <w:spacing w:beforeAutospacing="0" w:afterAutospacing="0" w:line="360" w:lineRule="auto"/>
        <w:jc w:val="center"/>
        <w:rPr>
          <w:noProof/>
        </w:rPr>
      </w:pPr>
    </w:p>
    <w:p w:rsidR="005863C6" w:rsidRDefault="005863C6">
      <w:pPr>
        <w:pStyle w:val="a7"/>
        <w:widowControl/>
        <w:spacing w:beforeAutospacing="0" w:afterAutospacing="0" w:line="360" w:lineRule="auto"/>
        <w:jc w:val="center"/>
      </w:pPr>
    </w:p>
    <w:p w:rsidR="00C731E8" w:rsidRDefault="00C731E8">
      <w:pPr>
        <w:pStyle w:val="a7"/>
        <w:widowControl/>
        <w:spacing w:beforeAutospacing="0" w:afterAutospacing="0" w:line="360" w:lineRule="auto"/>
        <w:jc w:val="center"/>
      </w:pPr>
    </w:p>
    <w:p w:rsidR="00C731E8" w:rsidRDefault="00C731E8">
      <w:pPr>
        <w:pStyle w:val="a7"/>
        <w:widowControl/>
        <w:spacing w:beforeAutospacing="0" w:afterAutospacing="0" w:line="360" w:lineRule="auto"/>
        <w:jc w:val="center"/>
      </w:pPr>
    </w:p>
    <w:p w:rsidR="00E76F0A" w:rsidRDefault="00924153" w:rsidP="00D066D3">
      <w:pPr>
        <w:pStyle w:val="a7"/>
        <w:widowControl/>
        <w:spacing w:beforeAutospacing="0" w:afterAutospacing="0" w:line="36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EE3EEFE" wp14:editId="29543CBF">
            <wp:simplePos x="0" y="0"/>
            <wp:positionH relativeFrom="column">
              <wp:posOffset>0</wp:posOffset>
            </wp:positionH>
            <wp:positionV relativeFrom="paragraph">
              <wp:posOffset>-222250</wp:posOffset>
            </wp:positionV>
            <wp:extent cx="721718" cy="197485"/>
            <wp:effectExtent l="0" t="0" r="2540" b="0"/>
            <wp:wrapNone/>
            <wp:docPr id="4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16F6E58F-A9C1-463B-8C37-860DCC9B01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112" name="图片 2">
                      <a:extLst>
                        <a:ext uri="{FF2B5EF4-FFF2-40B4-BE49-F238E27FC236}">
                          <a16:creationId xmlns:a16="http://schemas.microsoft.com/office/drawing/2014/main" id="{16F6E58F-A9C1-463B-8C37-860DCC9B01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18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F0A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铝晶粒细化剂产品生命周期评价范围</w:t>
      </w:r>
    </w:p>
    <w:p w:rsidR="00E76F0A" w:rsidRDefault="007F3D0A" w:rsidP="00E76F0A">
      <w:pPr>
        <w:pStyle w:val="a7"/>
        <w:widowControl/>
        <w:spacing w:beforeAutospacing="0" w:afterAutospacing="0" w:line="360" w:lineRule="auto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2BC34B4" wp14:editId="093E9E95">
            <wp:simplePos x="0" y="0"/>
            <wp:positionH relativeFrom="column">
              <wp:posOffset>972185</wp:posOffset>
            </wp:positionH>
            <wp:positionV relativeFrom="paragraph">
              <wp:posOffset>357809</wp:posOffset>
            </wp:positionV>
            <wp:extent cx="4549775" cy="2004695"/>
            <wp:effectExtent l="0" t="0" r="3175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细化剂线材工艺流程图-ASI -2021.07.15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775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F0A">
        <w:rPr>
          <w:rFonts w:ascii="仿宋_GB2312" w:eastAsia="仿宋_GB2312" w:hAnsi="仿宋_GB2312" w:cs="仿宋_GB2312" w:hint="eastAsia"/>
          <w:sz w:val="28"/>
          <w:szCs w:val="28"/>
        </w:rPr>
        <w:t>生产工艺流程图：</w:t>
      </w:r>
    </w:p>
    <w:p w:rsidR="007F3D0A" w:rsidRDefault="007F3D0A" w:rsidP="00E76F0A">
      <w:pPr>
        <w:pStyle w:val="a7"/>
        <w:widowControl/>
        <w:spacing w:line="360" w:lineRule="auto"/>
        <w:jc w:val="center"/>
        <w:rPr>
          <w:rFonts w:ascii="仿宋_GB2312" w:eastAsia="仿宋_GB2312" w:hAnsi="仿宋_GB2312" w:cs="仿宋_GB2312"/>
          <w:noProof/>
          <w:sz w:val="28"/>
          <w:szCs w:val="28"/>
        </w:rPr>
      </w:pPr>
    </w:p>
    <w:p w:rsidR="007F3D0A" w:rsidRDefault="007F3D0A" w:rsidP="00E76F0A">
      <w:pPr>
        <w:pStyle w:val="a7"/>
        <w:widowControl/>
        <w:spacing w:line="360" w:lineRule="auto"/>
        <w:jc w:val="center"/>
        <w:rPr>
          <w:rFonts w:ascii="仿宋_GB2312" w:eastAsia="仿宋_GB2312" w:hAnsi="仿宋_GB2312" w:cs="仿宋_GB2312"/>
          <w:noProof/>
          <w:sz w:val="28"/>
          <w:szCs w:val="28"/>
        </w:rPr>
      </w:pPr>
    </w:p>
    <w:p w:rsidR="007F3D0A" w:rsidRDefault="007F3D0A" w:rsidP="00E76F0A">
      <w:pPr>
        <w:pStyle w:val="a7"/>
        <w:widowControl/>
        <w:spacing w:line="360" w:lineRule="auto"/>
        <w:jc w:val="center"/>
        <w:rPr>
          <w:rFonts w:ascii="仿宋_GB2312" w:eastAsia="仿宋_GB2312" w:hAnsi="仿宋_GB2312" w:cs="仿宋_GB2312"/>
          <w:noProof/>
          <w:sz w:val="28"/>
          <w:szCs w:val="28"/>
        </w:rPr>
      </w:pPr>
    </w:p>
    <w:p w:rsidR="00E76F0A" w:rsidRDefault="00E76F0A" w:rsidP="007F3D0A">
      <w:pPr>
        <w:pStyle w:val="a7"/>
        <w:widowControl/>
        <w:spacing w:beforeLines="100" w:before="312" w:beforeAutospacing="0" w:afterAutospacing="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2.3 清单分析</w:t>
      </w:r>
    </w:p>
    <w:p w:rsidR="00E76F0A" w:rsidRDefault="00E76F0A" w:rsidP="00EB4467">
      <w:pPr>
        <w:pStyle w:val="a7"/>
        <w:widowControl/>
        <w:spacing w:beforeAutospacing="0" w:afterAutospacing="0"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/>
          <w:bCs/>
          <w:sz w:val="28"/>
          <w:szCs w:val="28"/>
        </w:rPr>
        <w:t>2.3.1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、</w:t>
      </w:r>
      <w:r>
        <w:rPr>
          <w:rFonts w:ascii="仿宋_GB2312" w:eastAsia="仿宋_GB2312" w:hAnsi="仿宋_GB2312" w:cs="仿宋_GB2312"/>
          <w:bCs/>
          <w:sz w:val="28"/>
          <w:szCs w:val="28"/>
        </w:rPr>
        <w:t>铝中间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合金清单分析</w:t>
      </w:r>
    </w:p>
    <w:p w:rsidR="00756A3E" w:rsidRDefault="00B20B7F">
      <w:pPr>
        <w:pStyle w:val="a7"/>
        <w:widowControl/>
        <w:spacing w:beforeAutospacing="0" w:afterAutospacing="0"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铝中间合金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产品生命周期清单数据主要通过企业现场调研获取，详见表1</w:t>
      </w:r>
      <w:r w:rsidR="00CD1D43">
        <w:rPr>
          <w:rFonts w:ascii="仿宋_GB2312" w:eastAsia="仿宋_GB2312" w:hAnsi="仿宋_GB2312" w:cs="仿宋_GB2312" w:hint="eastAsia"/>
          <w:bCs/>
          <w:sz w:val="28"/>
          <w:szCs w:val="28"/>
        </w:rPr>
        <w:t>、表2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。其中数据主要来源于管理部数统信息科、铝基中间合金工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部，以确保生命周期评价的本地化。由表1</w:t>
      </w:r>
      <w:r w:rsidR="00CD1D43">
        <w:rPr>
          <w:rFonts w:ascii="仿宋_GB2312" w:eastAsia="仿宋_GB2312" w:hAnsi="仿宋_GB2312" w:cs="仿宋_GB2312" w:hint="eastAsia"/>
          <w:bCs/>
          <w:sz w:val="28"/>
          <w:szCs w:val="28"/>
        </w:rPr>
        <w:t>、表2</w:t>
      </w:r>
      <w:r w:rsidR="00E350C7">
        <w:rPr>
          <w:rFonts w:ascii="仿宋_GB2312" w:eastAsia="仿宋_GB2312" w:hAnsi="仿宋_GB2312" w:cs="仿宋_GB2312" w:hint="eastAsia"/>
          <w:bCs/>
          <w:sz w:val="28"/>
          <w:szCs w:val="28"/>
        </w:rPr>
        <w:t>的数据可计算得出铝中间合金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产品</w:t>
      </w:r>
      <w:r w:rsidR="00E72F60">
        <w:rPr>
          <w:rFonts w:ascii="仿宋_GB2312" w:eastAsia="仿宋_GB2312" w:hAnsi="仿宋_GB2312" w:cs="仿宋_GB2312" w:hint="eastAsia"/>
          <w:bCs/>
          <w:sz w:val="28"/>
          <w:szCs w:val="28"/>
        </w:rPr>
        <w:t>(按AlTi10产品</w:t>
      </w:r>
      <w:r w:rsidR="00531FA3">
        <w:rPr>
          <w:rFonts w:ascii="仿宋_GB2312" w:eastAsia="仿宋_GB2312" w:hAnsi="仿宋_GB2312" w:cs="仿宋_GB2312" w:hint="eastAsia"/>
          <w:bCs/>
          <w:sz w:val="28"/>
          <w:szCs w:val="28"/>
        </w:rPr>
        <w:t>计</w:t>
      </w:r>
      <w:r w:rsidR="00E72F60">
        <w:rPr>
          <w:rFonts w:ascii="仿宋_GB2312" w:eastAsia="仿宋_GB2312" w:hAnsi="仿宋_GB2312" w:cs="仿宋_GB2312" w:hint="eastAsia"/>
          <w:bCs/>
          <w:sz w:val="28"/>
          <w:szCs w:val="28"/>
        </w:rPr>
        <w:t>)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的全生命周期清单数据，如表1</w:t>
      </w:r>
      <w:r w:rsidR="00CD1D43">
        <w:rPr>
          <w:rFonts w:ascii="仿宋_GB2312" w:eastAsia="仿宋_GB2312" w:hAnsi="仿宋_GB2312" w:cs="仿宋_GB2312" w:hint="eastAsia"/>
          <w:bCs/>
          <w:sz w:val="28"/>
          <w:szCs w:val="28"/>
        </w:rPr>
        <w:t>、表2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所示。</w:t>
      </w:r>
    </w:p>
    <w:p w:rsidR="00756A3E" w:rsidRDefault="00F1290C">
      <w:pPr>
        <w:pStyle w:val="a7"/>
        <w:widowControl/>
        <w:spacing w:beforeAutospacing="0" w:afterAutospacing="0" w:line="36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表1 </w:t>
      </w:r>
      <w:r w:rsidR="00E350C7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铝中间合金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产品</w:t>
      </w:r>
      <w:r w:rsidR="00E72F6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(</w:t>
      </w:r>
      <w:r w:rsidR="00E72F60">
        <w:rPr>
          <w:rFonts w:ascii="仿宋_GB2312" w:eastAsia="仿宋_GB2312" w:hAnsi="仿宋_GB2312" w:cs="仿宋_GB2312" w:hint="eastAsia"/>
          <w:bCs/>
          <w:sz w:val="28"/>
          <w:szCs w:val="28"/>
        </w:rPr>
        <w:t>按AlTi10产品</w:t>
      </w:r>
      <w:r w:rsidR="00531FA3">
        <w:rPr>
          <w:rFonts w:ascii="仿宋_GB2312" w:eastAsia="仿宋_GB2312" w:hAnsi="仿宋_GB2312" w:cs="仿宋_GB2312" w:hint="eastAsia"/>
          <w:bCs/>
          <w:sz w:val="28"/>
          <w:szCs w:val="28"/>
        </w:rPr>
        <w:t>计</w:t>
      </w:r>
      <w:r w:rsidR="00E72F6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相关清单数据</w:t>
      </w:r>
    </w:p>
    <w:tbl>
      <w:tblPr>
        <w:tblW w:w="96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268"/>
        <w:gridCol w:w="1842"/>
        <w:gridCol w:w="3157"/>
      </w:tblGrid>
      <w:tr w:rsidR="00756A3E" w:rsidTr="006F43E7">
        <w:trPr>
          <w:trHeight w:val="495"/>
          <w:tblHeader/>
          <w:jc w:val="center"/>
        </w:trPr>
        <w:tc>
          <w:tcPr>
            <w:tcW w:w="2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00756A3E" w:rsidRDefault="00F1290C">
            <w:pPr>
              <w:pStyle w:val="a7"/>
              <w:widowControl/>
              <w:spacing w:beforeAutospacing="0" w:afterAutospacing="0"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生命周期阶段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00756A3E" w:rsidRDefault="00F1290C">
            <w:pPr>
              <w:pStyle w:val="a7"/>
              <w:widowControl/>
              <w:spacing w:beforeAutospacing="0" w:afterAutospacing="0"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资源（能源）消耗类型</w:t>
            </w:r>
          </w:p>
        </w:tc>
        <w:tc>
          <w:tcPr>
            <w:tcW w:w="4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00756A3E" w:rsidRDefault="00F1290C">
            <w:pPr>
              <w:pStyle w:val="a7"/>
              <w:widowControl/>
              <w:spacing w:beforeAutospacing="0" w:afterAutospacing="0"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消耗量</w:t>
            </w:r>
          </w:p>
        </w:tc>
      </w:tr>
      <w:tr w:rsidR="00756A3E" w:rsidTr="006F43E7">
        <w:trPr>
          <w:trHeight w:val="526"/>
          <w:tblHeader/>
          <w:jc w:val="center"/>
        </w:trPr>
        <w:tc>
          <w:tcPr>
            <w:tcW w:w="2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00756A3E" w:rsidRDefault="00756A3E">
            <w:pPr>
              <w:pStyle w:val="a7"/>
              <w:widowControl/>
              <w:spacing w:beforeAutospacing="0" w:afterAutospacing="0"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00756A3E" w:rsidRDefault="00756A3E">
            <w:pPr>
              <w:pStyle w:val="a7"/>
              <w:widowControl/>
              <w:spacing w:beforeAutospacing="0" w:afterAutospacing="0"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00756A3E" w:rsidRDefault="00F1290C">
            <w:pPr>
              <w:pStyle w:val="a7"/>
              <w:widowControl/>
              <w:spacing w:beforeAutospacing="0" w:afterAutospacing="0"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数值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00756A3E" w:rsidRDefault="00F1290C">
            <w:pPr>
              <w:pStyle w:val="a7"/>
              <w:widowControl/>
              <w:spacing w:beforeAutospacing="0" w:afterAutospacing="0"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数据来源</w:t>
            </w:r>
          </w:p>
        </w:tc>
      </w:tr>
      <w:tr w:rsidR="00E11F5F" w:rsidTr="00321D92">
        <w:trPr>
          <w:trHeight w:hRule="exact" w:val="567"/>
          <w:jc w:val="center"/>
        </w:trPr>
        <w:tc>
          <w:tcPr>
            <w:tcW w:w="2395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1F5F" w:rsidRDefault="00E11F5F" w:rsidP="00E11F5F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EF4A1D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电耗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EF4A1D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≤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333kwh</w:t>
            </w:r>
          </w:p>
        </w:tc>
        <w:tc>
          <w:tcPr>
            <w:tcW w:w="315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7D54C2">
            <w:pPr>
              <w:pStyle w:val="a7"/>
              <w:widowControl/>
              <w:spacing w:beforeAutospacing="0" w:afterAutospacing="0"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020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年度管理体系目标、指标</w:t>
            </w:r>
          </w:p>
        </w:tc>
      </w:tr>
      <w:tr w:rsidR="00E11F5F" w:rsidTr="00321D92">
        <w:trPr>
          <w:trHeight w:hRule="exact" w:val="567"/>
          <w:jc w:val="center"/>
        </w:trPr>
        <w:tc>
          <w:tcPr>
            <w:tcW w:w="239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1F5F" w:rsidRDefault="00E11F5F" w:rsidP="00E11F5F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EF4A1D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天然气消耗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EF4A1D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≤6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m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5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7D54C2">
            <w:pPr>
              <w:pStyle w:val="a7"/>
              <w:widowControl/>
              <w:spacing w:beforeAutospacing="0" w:afterAutospacing="0"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E11F5F" w:rsidTr="00321D92">
        <w:trPr>
          <w:trHeight w:hRule="exact" w:val="567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1F5F" w:rsidRDefault="00E11F5F" w:rsidP="00E11F5F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原料投入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EF4A1D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铝液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EF4A1D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0.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901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7D54C2">
            <w:pPr>
              <w:pStyle w:val="a7"/>
              <w:widowControl/>
              <w:spacing w:beforeAutospacing="0" w:afterAutospacing="0"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管理部数统信息科、铝基中间合金工部</w:t>
            </w:r>
            <w:r w:rsidR="00121BEA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、技术研发中心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提供数据</w:t>
            </w:r>
          </w:p>
        </w:tc>
      </w:tr>
      <w:tr w:rsidR="00E11F5F" w:rsidTr="00321D92">
        <w:trPr>
          <w:trHeight w:hRule="exact" w:val="567"/>
          <w:jc w:val="center"/>
        </w:trPr>
        <w:tc>
          <w:tcPr>
            <w:tcW w:w="239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1F5F" w:rsidRDefault="00E11F5F" w:rsidP="00E11F5F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EF4A1D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EF4A1D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0.1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315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7D54C2">
            <w:pPr>
              <w:pStyle w:val="a7"/>
              <w:widowControl/>
              <w:spacing w:beforeAutospacing="0" w:afterAutospacing="0"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E11F5F" w:rsidTr="00321D92">
        <w:trPr>
          <w:trHeight w:hRule="exact" w:val="567"/>
          <w:jc w:val="center"/>
        </w:trPr>
        <w:tc>
          <w:tcPr>
            <w:tcW w:w="23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11F5F" w:rsidRDefault="00E11F5F" w:rsidP="00E11F5F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EF4A1D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边废料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EF4A1D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0.0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315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7D54C2">
            <w:pPr>
              <w:pStyle w:val="a7"/>
              <w:widowControl/>
              <w:spacing w:beforeAutospacing="0" w:afterAutospacing="0"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E11F5F" w:rsidTr="00321D92">
        <w:trPr>
          <w:trHeight w:hRule="exact" w:val="567"/>
          <w:jc w:val="center"/>
        </w:trPr>
        <w:tc>
          <w:tcPr>
            <w:tcW w:w="239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E11F5F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产品加工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Pr="002C1A96" w:rsidRDefault="00E11F5F" w:rsidP="00EF4A1D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C1A96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EF4A1D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55</w:t>
            </w:r>
            <w:r w:rsidR="008D579F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kw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h</w:t>
            </w:r>
          </w:p>
        </w:tc>
        <w:tc>
          <w:tcPr>
            <w:tcW w:w="315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7D54C2">
            <w:pPr>
              <w:pStyle w:val="a7"/>
              <w:widowControl/>
              <w:spacing w:beforeAutospacing="0" w:afterAutospacing="0"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管理部数统信息科、铝基中间合金工部提供数据</w:t>
            </w:r>
          </w:p>
        </w:tc>
      </w:tr>
      <w:tr w:rsidR="00E11F5F" w:rsidTr="00321D92">
        <w:trPr>
          <w:trHeight w:hRule="exact" w:val="567"/>
          <w:jc w:val="center"/>
        </w:trPr>
        <w:tc>
          <w:tcPr>
            <w:tcW w:w="239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E11F5F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Pr="002C1A96" w:rsidRDefault="00E11F5F" w:rsidP="00EF4A1D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C1A96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天然气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EF4A1D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5.</w:t>
            </w:r>
            <w:r w:rsidR="00A56E1F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m3</w:t>
            </w:r>
          </w:p>
        </w:tc>
        <w:tc>
          <w:tcPr>
            <w:tcW w:w="315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F5F" w:rsidRDefault="00E11F5F" w:rsidP="00E11F5F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</w:tbl>
    <w:p w:rsidR="007F3D0A" w:rsidRDefault="007F3D0A">
      <w:pPr>
        <w:pStyle w:val="a7"/>
        <w:widowControl/>
        <w:spacing w:beforeAutospacing="0" w:afterAutospacing="0" w:line="36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756A3E" w:rsidRDefault="00924153">
      <w:pPr>
        <w:pStyle w:val="a7"/>
        <w:widowControl/>
        <w:spacing w:beforeAutospacing="0" w:afterAutospacing="0" w:line="36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4B38E003" wp14:editId="5FF6B22C">
            <wp:simplePos x="0" y="0"/>
            <wp:positionH relativeFrom="column">
              <wp:posOffset>0</wp:posOffset>
            </wp:positionH>
            <wp:positionV relativeFrom="paragraph">
              <wp:posOffset>-229235</wp:posOffset>
            </wp:positionV>
            <wp:extent cx="721718" cy="197485"/>
            <wp:effectExtent l="0" t="0" r="2540" b="0"/>
            <wp:wrapNone/>
            <wp:docPr id="1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16F6E58F-A9C1-463B-8C37-860DCC9B01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112" name="图片 2">
                      <a:extLst>
                        <a:ext uri="{FF2B5EF4-FFF2-40B4-BE49-F238E27FC236}">
                          <a16:creationId xmlns:a16="http://schemas.microsoft.com/office/drawing/2014/main" id="{16F6E58F-A9C1-463B-8C37-860DCC9B01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18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90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表2 </w:t>
      </w:r>
      <w:r w:rsidR="00531FA3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铝中间合金</w:t>
      </w:r>
      <w:r w:rsidR="00F1290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产品</w:t>
      </w:r>
      <w:r w:rsidR="00531FA3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(</w:t>
      </w:r>
      <w:r w:rsidR="00531FA3">
        <w:rPr>
          <w:rFonts w:ascii="仿宋_GB2312" w:eastAsia="仿宋_GB2312" w:hAnsi="仿宋_GB2312" w:cs="仿宋_GB2312" w:hint="eastAsia"/>
          <w:bCs/>
          <w:sz w:val="28"/>
          <w:szCs w:val="28"/>
        </w:rPr>
        <w:t>按AlTi10产品计</w:t>
      </w:r>
      <w:r w:rsidR="00531FA3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)</w:t>
      </w:r>
      <w:r w:rsidR="00F1290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清单数据</w:t>
      </w:r>
    </w:p>
    <w:tbl>
      <w:tblPr>
        <w:tblW w:w="964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373"/>
        <w:gridCol w:w="2714"/>
        <w:gridCol w:w="2362"/>
      </w:tblGrid>
      <w:tr w:rsidR="00756A3E">
        <w:trPr>
          <w:trHeight w:val="729"/>
          <w:jc w:val="center"/>
        </w:trPr>
        <w:tc>
          <w:tcPr>
            <w:tcW w:w="45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F1290C">
            <w:pPr>
              <w:pStyle w:val="a7"/>
              <w:widowControl/>
              <w:spacing w:beforeAutospacing="0" w:afterAutospacing="0" w:line="500" w:lineRule="exact"/>
              <w:jc w:val="center"/>
              <w:rPr>
                <w:rFonts w:asciiTheme="majorEastAsia" w:eastAsiaTheme="majorEastAsia" w:hAnsiTheme="majorEastAsia" w:cs="楷体"/>
                <w:bCs/>
              </w:rPr>
            </w:pPr>
            <w:r>
              <w:rPr>
                <w:rFonts w:asciiTheme="majorEastAsia" w:eastAsiaTheme="majorEastAsia" w:hAnsiTheme="majorEastAsia" w:cs="楷体" w:hint="eastAsia"/>
                <w:bCs/>
              </w:rPr>
              <w:t>数据类型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F1290C">
            <w:pPr>
              <w:pStyle w:val="a7"/>
              <w:widowControl/>
              <w:spacing w:beforeAutospacing="0" w:afterAutospacing="0" w:line="500" w:lineRule="exact"/>
              <w:jc w:val="center"/>
              <w:rPr>
                <w:rFonts w:asciiTheme="majorEastAsia" w:eastAsiaTheme="majorEastAsia" w:hAnsiTheme="majorEastAsia" w:cs="楷体"/>
                <w:bCs/>
              </w:rPr>
            </w:pPr>
            <w:r>
              <w:rPr>
                <w:rFonts w:asciiTheme="majorEastAsia" w:eastAsiaTheme="majorEastAsia" w:hAnsiTheme="majorEastAsia" w:cs="楷体" w:hint="eastAsia"/>
                <w:bCs/>
              </w:rPr>
              <w:t>量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F1290C">
            <w:pPr>
              <w:pStyle w:val="a7"/>
              <w:widowControl/>
              <w:spacing w:beforeAutospacing="0" w:afterAutospacing="0" w:line="500" w:lineRule="exact"/>
              <w:jc w:val="center"/>
              <w:rPr>
                <w:rFonts w:asciiTheme="majorEastAsia" w:eastAsiaTheme="majorEastAsia" w:hAnsiTheme="majorEastAsia" w:cs="楷体"/>
                <w:bCs/>
              </w:rPr>
            </w:pPr>
            <w:r>
              <w:rPr>
                <w:rFonts w:asciiTheme="majorEastAsia" w:eastAsiaTheme="majorEastAsia" w:hAnsiTheme="majorEastAsia" w:cs="楷体" w:hint="eastAsia"/>
                <w:bCs/>
              </w:rPr>
              <w:t>处置方式</w:t>
            </w:r>
          </w:p>
        </w:tc>
      </w:tr>
      <w:tr w:rsidR="00756A3E" w:rsidTr="002C1A96">
        <w:trPr>
          <w:trHeight w:val="27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2C1A96" w:rsidP="002C1A96">
            <w:pPr>
              <w:pStyle w:val="a7"/>
              <w:spacing w:line="500" w:lineRule="exact"/>
              <w:rPr>
                <w:rFonts w:asciiTheme="majorEastAsia" w:eastAsiaTheme="majorEastAsia" w:hAnsiTheme="majorEastAsia" w:cs="楷体"/>
                <w:bCs/>
              </w:rPr>
            </w:pPr>
            <w:r>
              <w:rPr>
                <w:rFonts w:asciiTheme="majorEastAsia" w:eastAsiaTheme="majorEastAsia" w:hAnsiTheme="majorEastAsia" w:cs="楷体" w:hint="eastAsia"/>
                <w:bCs/>
              </w:rPr>
              <w:t>环境外排（吨铝中间合金产品）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Pr="003F6DD4" w:rsidRDefault="00F1290C" w:rsidP="00843772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  <w:highlight w:val="cyan"/>
              </w:rPr>
            </w:pPr>
            <w:r w:rsidRPr="005A5C8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边废料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535FDD" w:rsidP="00843772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0.015</w:t>
            </w:r>
            <w:r w:rsidR="00F1290C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t/a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F1290C" w:rsidP="00EF4A1D">
            <w:pPr>
              <w:pStyle w:val="a7"/>
              <w:widowControl/>
              <w:spacing w:beforeAutospacing="0" w:afterAutospacing="0" w:line="440" w:lineRule="exact"/>
              <w:rPr>
                <w:rFonts w:asciiTheme="majorEastAsia" w:eastAsiaTheme="majorEastAsia" w:hAnsiTheme="majorEastAsia" w:cs="楷体"/>
                <w:bCs/>
              </w:rPr>
            </w:pPr>
            <w:r>
              <w:rPr>
                <w:rFonts w:asciiTheme="majorEastAsia" w:eastAsiaTheme="majorEastAsia" w:hAnsiTheme="majorEastAsia" w:cs="楷体" w:hint="eastAsia"/>
                <w:bCs/>
              </w:rPr>
              <w:t>回收利用</w:t>
            </w:r>
          </w:p>
        </w:tc>
      </w:tr>
      <w:tr w:rsidR="00756A3E">
        <w:trPr>
          <w:trHeight w:val="270"/>
          <w:jc w:val="center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756A3E">
            <w:pPr>
              <w:pStyle w:val="a7"/>
              <w:widowControl/>
              <w:spacing w:beforeAutospacing="0" w:afterAutospacing="0" w:line="500" w:lineRule="exact"/>
              <w:rPr>
                <w:rFonts w:asciiTheme="majorEastAsia" w:eastAsiaTheme="majorEastAsia" w:hAnsiTheme="majorEastAsia" w:cs="楷体"/>
                <w:bCs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F1290C" w:rsidP="00843772">
            <w:pPr>
              <w:pStyle w:val="a7"/>
              <w:widowControl/>
              <w:spacing w:beforeAutospacing="0" w:afterAutospacing="0" w:line="440" w:lineRule="exact"/>
              <w:rPr>
                <w:rFonts w:asciiTheme="majorEastAsia" w:eastAsiaTheme="majorEastAsia" w:hAnsiTheme="majorEastAsia" w:cs="楷体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电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841A27" w:rsidP="00843772">
            <w:pPr>
              <w:pStyle w:val="a7"/>
              <w:widowControl/>
              <w:spacing w:beforeAutospacing="0" w:afterAutospacing="0" w:line="440" w:lineRule="exact"/>
              <w:rPr>
                <w:rFonts w:asciiTheme="majorEastAsia" w:eastAsiaTheme="majorEastAsia" w:hAnsiTheme="majorEastAsia" w:cs="楷体"/>
                <w:bCs/>
              </w:rPr>
            </w:pPr>
            <w:r w:rsidRPr="00841A2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0.1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624</w:t>
            </w:r>
            <w:r w:rsidRPr="00841A2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公吨CO2e/年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F1290C" w:rsidP="00EF4A1D">
            <w:pPr>
              <w:pStyle w:val="a7"/>
              <w:widowControl/>
              <w:spacing w:beforeAutospacing="0" w:afterAutospacing="0" w:line="440" w:lineRule="exact"/>
              <w:rPr>
                <w:rFonts w:asciiTheme="majorEastAsia" w:eastAsiaTheme="majorEastAsia" w:hAnsiTheme="majorEastAsia" w:cs="楷体"/>
                <w:bCs/>
              </w:rPr>
            </w:pPr>
            <w:r>
              <w:rPr>
                <w:rFonts w:asciiTheme="majorEastAsia" w:eastAsiaTheme="majorEastAsia" w:hAnsiTheme="majorEastAsia" w:cs="楷体" w:hint="eastAsia"/>
                <w:bCs/>
              </w:rPr>
              <w:t>温室气体外排（间接排放）</w:t>
            </w:r>
          </w:p>
        </w:tc>
      </w:tr>
      <w:tr w:rsidR="00756A3E">
        <w:trPr>
          <w:trHeight w:val="270"/>
          <w:jc w:val="center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756A3E">
            <w:pPr>
              <w:pStyle w:val="a7"/>
              <w:widowControl/>
              <w:spacing w:beforeAutospacing="0" w:afterAutospacing="0" w:line="500" w:lineRule="exact"/>
              <w:rPr>
                <w:rFonts w:asciiTheme="majorEastAsia" w:eastAsiaTheme="majorEastAsia" w:hAnsiTheme="majorEastAsia" w:cs="楷体"/>
                <w:bCs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F1290C" w:rsidP="00843772">
            <w:pPr>
              <w:pStyle w:val="a7"/>
              <w:widowControl/>
              <w:spacing w:beforeAutospacing="0" w:afterAutospacing="0" w:line="440" w:lineRule="exact"/>
              <w:rPr>
                <w:rFonts w:asciiTheme="majorEastAsia" w:eastAsiaTheme="majorEastAsia" w:hAnsiTheme="majorEastAsia" w:cs="楷体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天然气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Pr="006F7AA9" w:rsidRDefault="00F1290C" w:rsidP="00843772">
            <w:pPr>
              <w:pStyle w:val="a7"/>
              <w:widowControl/>
              <w:spacing w:beforeAutospacing="0" w:afterAutospacing="0" w:line="440" w:lineRule="exact"/>
              <w:rPr>
                <w:rFonts w:asciiTheme="majorEastAsia" w:eastAsiaTheme="majorEastAsia" w:hAnsiTheme="majorEastAsia" w:cs="楷体"/>
                <w:bCs/>
                <w:highlight w:val="yellow"/>
              </w:rPr>
            </w:pPr>
            <w:r w:rsidRPr="005A5C8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0.</w:t>
            </w:r>
            <w:r w:rsidR="005A5C88" w:rsidRPr="005A5C88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14</w:t>
            </w:r>
            <w:r w:rsidR="007A0C51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8</w:t>
            </w:r>
            <w:r w:rsidR="00A96421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5</w:t>
            </w:r>
            <w:r w:rsidRPr="005A5C8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公吨CO2e/年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F1290C" w:rsidP="00EF4A1D">
            <w:pPr>
              <w:pStyle w:val="a7"/>
              <w:widowControl/>
              <w:spacing w:beforeAutospacing="0" w:afterAutospacing="0" w:line="440" w:lineRule="exact"/>
              <w:rPr>
                <w:rFonts w:asciiTheme="majorEastAsia" w:eastAsiaTheme="majorEastAsia" w:hAnsiTheme="majorEastAsia" w:cs="楷体"/>
                <w:bCs/>
              </w:rPr>
            </w:pPr>
            <w:r>
              <w:rPr>
                <w:rFonts w:asciiTheme="majorEastAsia" w:eastAsiaTheme="majorEastAsia" w:hAnsiTheme="majorEastAsia" w:cs="楷体" w:hint="eastAsia"/>
                <w:bCs/>
              </w:rPr>
              <w:t>温室气体外排</w:t>
            </w:r>
          </w:p>
        </w:tc>
      </w:tr>
      <w:tr w:rsidR="00756A3E">
        <w:trPr>
          <w:trHeight w:val="270"/>
          <w:jc w:val="center"/>
        </w:trPr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756A3E">
            <w:pPr>
              <w:pStyle w:val="a7"/>
              <w:widowControl/>
              <w:spacing w:beforeAutospacing="0" w:afterAutospacing="0" w:line="500" w:lineRule="exact"/>
              <w:rPr>
                <w:rFonts w:asciiTheme="majorEastAsia" w:eastAsiaTheme="majorEastAsia" w:hAnsiTheme="majorEastAsia" w:cs="楷体"/>
                <w:bCs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6F7AA9" w:rsidP="00843772">
            <w:pPr>
              <w:pStyle w:val="a7"/>
              <w:widowControl/>
              <w:spacing w:beforeAutospacing="0" w:afterAutospacing="0" w:line="440" w:lineRule="exact"/>
              <w:rPr>
                <w:rFonts w:asciiTheme="majorEastAsia" w:eastAsiaTheme="majorEastAsia" w:hAnsiTheme="majorEastAsia" w:cs="楷体"/>
                <w:bCs/>
              </w:rPr>
            </w:pPr>
            <w:r w:rsidRPr="005A5C88">
              <w:rPr>
                <w:rFonts w:asciiTheme="majorEastAsia" w:eastAsiaTheme="majorEastAsia" w:hAnsiTheme="majorEastAsia" w:cs="楷体" w:hint="eastAsia"/>
                <w:bCs/>
              </w:rPr>
              <w:t>铝灰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5A5C88" w:rsidP="00843772">
            <w:pPr>
              <w:pStyle w:val="a7"/>
              <w:widowControl/>
              <w:spacing w:beforeAutospacing="0" w:afterAutospacing="0" w:line="440" w:lineRule="exact"/>
              <w:rPr>
                <w:rFonts w:asciiTheme="majorEastAsia" w:eastAsiaTheme="majorEastAsia" w:hAnsiTheme="majorEastAsia" w:cs="楷体"/>
                <w:bCs/>
              </w:rPr>
            </w:pP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0.021t/a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F1290C" w:rsidP="00EF4A1D">
            <w:pPr>
              <w:pStyle w:val="a7"/>
              <w:widowControl/>
              <w:spacing w:beforeAutospacing="0" w:afterAutospacing="0" w:line="440" w:lineRule="exact"/>
              <w:rPr>
                <w:rFonts w:asciiTheme="majorEastAsia" w:eastAsiaTheme="majorEastAsia" w:hAnsiTheme="majorEastAsia" w:cs="楷体"/>
                <w:bCs/>
              </w:rPr>
            </w:pPr>
            <w:r>
              <w:rPr>
                <w:rFonts w:asciiTheme="majorEastAsia" w:eastAsiaTheme="majorEastAsia" w:hAnsiTheme="majorEastAsia" w:cs="楷体" w:hint="eastAsia"/>
                <w:bCs/>
              </w:rPr>
              <w:t>委托处置</w:t>
            </w:r>
          </w:p>
        </w:tc>
      </w:tr>
    </w:tbl>
    <w:p w:rsidR="00E76F0A" w:rsidRDefault="00E76F0A" w:rsidP="00E76F0A">
      <w:pPr>
        <w:pStyle w:val="a7"/>
        <w:widowControl/>
        <w:spacing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2.3</w:t>
      </w:r>
      <w:r>
        <w:rPr>
          <w:rFonts w:ascii="仿宋_GB2312" w:eastAsia="仿宋_GB2312" w:hAnsi="仿宋_GB2312" w:cs="仿宋_GB2312"/>
          <w:bCs/>
          <w:sz w:val="28"/>
          <w:szCs w:val="28"/>
        </w:rPr>
        <w:t>.2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铝晶粒细化剂清单分析</w:t>
      </w:r>
    </w:p>
    <w:p w:rsidR="00756A3E" w:rsidRDefault="00531FA3">
      <w:pPr>
        <w:pStyle w:val="a7"/>
        <w:widowControl/>
        <w:spacing w:beforeAutospacing="0" w:afterAutospacing="0"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铝晶粒细化剂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产品生命周期清单数据主要通过企业现场调研获取，详见表3</w:t>
      </w:r>
      <w:r w:rsidR="00CD1D43">
        <w:rPr>
          <w:rFonts w:ascii="仿宋_GB2312" w:eastAsia="仿宋_GB2312" w:hAnsi="仿宋_GB2312" w:cs="仿宋_GB2312" w:hint="eastAsia"/>
          <w:bCs/>
          <w:sz w:val="28"/>
          <w:szCs w:val="28"/>
        </w:rPr>
        <w:t>、表4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。其中数据主要来源于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管理部数统信息科、晶粒细化剂</w:t>
      </w:r>
      <w:r w:rsidRPr="00531FA3">
        <w:rPr>
          <w:rFonts w:ascii="仿宋_GB2312" w:eastAsia="仿宋_GB2312" w:hAnsi="仿宋_GB2312" w:cs="仿宋_GB2312" w:hint="eastAsia"/>
          <w:bCs/>
          <w:sz w:val="28"/>
          <w:szCs w:val="28"/>
        </w:rPr>
        <w:t>工部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，以确保生命周期评价的本地化。由表3</w:t>
      </w:r>
      <w:r w:rsidR="00CD1D43">
        <w:rPr>
          <w:rFonts w:ascii="仿宋_GB2312" w:eastAsia="仿宋_GB2312" w:hAnsi="仿宋_GB2312" w:cs="仿宋_GB2312" w:hint="eastAsia"/>
          <w:bCs/>
          <w:sz w:val="28"/>
          <w:szCs w:val="28"/>
        </w:rPr>
        <w:t>、表4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的数据可计算得出铝晶粒细化剂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产品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(按AlTi5B1产品计)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的全生命周期清单数据，如表</w:t>
      </w:r>
      <w:r w:rsidR="00CD1D43">
        <w:rPr>
          <w:rFonts w:ascii="仿宋_GB2312" w:eastAsia="仿宋_GB2312" w:hAnsi="仿宋_GB2312" w:cs="仿宋_GB2312" w:hint="eastAsia"/>
          <w:bCs/>
          <w:sz w:val="28"/>
          <w:szCs w:val="28"/>
        </w:rPr>
        <w:t>3、表4</w:t>
      </w:r>
      <w:r w:rsidR="00F1290C">
        <w:rPr>
          <w:rFonts w:ascii="仿宋_GB2312" w:eastAsia="仿宋_GB2312" w:hAnsi="仿宋_GB2312" w:cs="仿宋_GB2312" w:hint="eastAsia"/>
          <w:bCs/>
          <w:sz w:val="28"/>
          <w:szCs w:val="28"/>
        </w:rPr>
        <w:t>所示。</w:t>
      </w:r>
    </w:p>
    <w:p w:rsidR="00756A3E" w:rsidRDefault="00F1290C">
      <w:pPr>
        <w:pStyle w:val="a7"/>
        <w:widowControl/>
        <w:spacing w:beforeAutospacing="0" w:afterAutospacing="0" w:line="36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表3 </w:t>
      </w:r>
      <w:r w:rsidR="00531FA3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铝晶粒细化剂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产品</w:t>
      </w:r>
      <w:r w:rsidR="00531FA3">
        <w:rPr>
          <w:rFonts w:ascii="仿宋_GB2312" w:eastAsia="仿宋_GB2312" w:hAnsi="仿宋_GB2312" w:cs="仿宋_GB2312" w:hint="eastAsia"/>
          <w:bCs/>
          <w:sz w:val="28"/>
          <w:szCs w:val="28"/>
        </w:rPr>
        <w:t>(按AlTi5B1产品计)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相关清单数据</w:t>
      </w:r>
    </w:p>
    <w:tbl>
      <w:tblPr>
        <w:tblW w:w="96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593"/>
        <w:gridCol w:w="1517"/>
        <w:gridCol w:w="3157"/>
      </w:tblGrid>
      <w:tr w:rsidR="00756A3E" w:rsidTr="00F63E00">
        <w:trPr>
          <w:trHeight w:val="495"/>
          <w:tblHeader/>
          <w:jc w:val="center"/>
        </w:trPr>
        <w:tc>
          <w:tcPr>
            <w:tcW w:w="2395" w:type="dxa"/>
            <w:vMerge w:val="restart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00756A3E" w:rsidRDefault="00F1290C">
            <w:pPr>
              <w:pStyle w:val="a7"/>
              <w:widowControl/>
              <w:spacing w:beforeAutospacing="0" w:afterAutospacing="0"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生命周期阶段</w:t>
            </w:r>
          </w:p>
        </w:tc>
        <w:tc>
          <w:tcPr>
            <w:tcW w:w="2593" w:type="dxa"/>
            <w:vMerge w:val="restart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00756A3E" w:rsidRDefault="00F1290C">
            <w:pPr>
              <w:pStyle w:val="a7"/>
              <w:widowControl/>
              <w:spacing w:beforeAutospacing="0" w:afterAutospacing="0"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资源（能源）消耗类型</w:t>
            </w:r>
          </w:p>
        </w:tc>
        <w:tc>
          <w:tcPr>
            <w:tcW w:w="4674" w:type="dxa"/>
            <w:gridSpan w:val="2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00756A3E" w:rsidRDefault="00F1290C">
            <w:pPr>
              <w:pStyle w:val="a7"/>
              <w:widowControl/>
              <w:spacing w:beforeAutospacing="0" w:afterAutospacing="0"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消耗量</w:t>
            </w:r>
          </w:p>
        </w:tc>
      </w:tr>
      <w:tr w:rsidR="00756A3E" w:rsidTr="00F63E00">
        <w:trPr>
          <w:trHeight w:val="526"/>
          <w:tblHeader/>
          <w:jc w:val="center"/>
        </w:trPr>
        <w:tc>
          <w:tcPr>
            <w:tcW w:w="2395" w:type="dxa"/>
            <w:vMerge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00756A3E" w:rsidRDefault="00756A3E">
            <w:pPr>
              <w:pStyle w:val="a7"/>
              <w:widowControl/>
              <w:spacing w:beforeAutospacing="0" w:afterAutospacing="0"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93" w:type="dxa"/>
            <w:vMerge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00756A3E" w:rsidRDefault="00756A3E">
            <w:pPr>
              <w:pStyle w:val="a7"/>
              <w:widowControl/>
              <w:spacing w:beforeAutospacing="0" w:afterAutospacing="0"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00756A3E" w:rsidRDefault="00F1290C">
            <w:pPr>
              <w:pStyle w:val="a7"/>
              <w:widowControl/>
              <w:spacing w:beforeAutospacing="0" w:afterAutospacing="0"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数值</w:t>
            </w:r>
          </w:p>
        </w:tc>
        <w:tc>
          <w:tcPr>
            <w:tcW w:w="3157" w:type="dxa"/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:rsidR="00756A3E" w:rsidRDefault="00F1290C">
            <w:pPr>
              <w:pStyle w:val="a7"/>
              <w:widowControl/>
              <w:spacing w:beforeAutospacing="0" w:afterAutospacing="0" w:line="360" w:lineRule="auto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数据来源</w:t>
            </w:r>
          </w:p>
        </w:tc>
      </w:tr>
      <w:tr w:rsidR="00BC7E09" w:rsidTr="00F63E00">
        <w:trPr>
          <w:trHeight w:hRule="exact" w:val="567"/>
          <w:jc w:val="center"/>
        </w:trPr>
        <w:tc>
          <w:tcPr>
            <w:tcW w:w="23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BC7E09" w:rsidRDefault="00BC7E09" w:rsidP="00BC7E09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设计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7E09" w:rsidRPr="007E268F" w:rsidRDefault="00BC7E09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7E268F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电耗</w:t>
            </w:r>
            <w:r w:rsidRPr="007E268F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ab/>
            </w:r>
          </w:p>
          <w:p w:rsidR="00BC7E09" w:rsidRPr="00074F69" w:rsidRDefault="00BC7E09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  <w:highlight w:val="cyan"/>
              </w:rPr>
            </w:pPr>
            <w:r w:rsidRPr="007E268F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天然气消耗</w:t>
            </w:r>
            <w:r w:rsidRPr="007E268F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ab/>
              <w:t>≤60m3</w:t>
            </w:r>
          </w:p>
        </w:tc>
        <w:tc>
          <w:tcPr>
            <w:tcW w:w="15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7E09" w:rsidRDefault="00BC7E09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 w:rsidRPr="007E268F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≤</w:t>
            </w:r>
            <w:r w:rsidR="008D579F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570kw</w:t>
            </w:r>
            <w:r w:rsidRPr="007E268F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h</w:t>
            </w:r>
          </w:p>
        </w:tc>
        <w:tc>
          <w:tcPr>
            <w:tcW w:w="315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7E09" w:rsidRDefault="00BC7E09" w:rsidP="00D9488A">
            <w:pPr>
              <w:pStyle w:val="a7"/>
              <w:widowControl/>
              <w:spacing w:beforeAutospacing="0" w:afterAutospacing="0"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020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年度管理体系目标、指标</w:t>
            </w:r>
          </w:p>
        </w:tc>
      </w:tr>
      <w:tr w:rsidR="00BC7E09" w:rsidTr="00F63E00">
        <w:trPr>
          <w:trHeight w:hRule="exact" w:val="567"/>
          <w:jc w:val="center"/>
        </w:trPr>
        <w:tc>
          <w:tcPr>
            <w:tcW w:w="23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BC7E09" w:rsidRDefault="00BC7E09" w:rsidP="00BC7E09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7E09" w:rsidRPr="00074F69" w:rsidRDefault="00BC7E09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  <w:highlight w:val="cyan"/>
              </w:rPr>
            </w:pPr>
            <w:r w:rsidRPr="007E268F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天然气消耗</w:t>
            </w:r>
          </w:p>
        </w:tc>
        <w:tc>
          <w:tcPr>
            <w:tcW w:w="15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7E09" w:rsidRDefault="00BC7E09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≤6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m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5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7E09" w:rsidRDefault="00BC7E09" w:rsidP="00D9488A">
            <w:pPr>
              <w:pStyle w:val="a7"/>
              <w:widowControl/>
              <w:spacing w:beforeAutospacing="0" w:afterAutospacing="0"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BC7E09" w:rsidTr="00F63E00">
        <w:trPr>
          <w:trHeight w:hRule="exact" w:val="567"/>
          <w:jc w:val="center"/>
        </w:trPr>
        <w:tc>
          <w:tcPr>
            <w:tcW w:w="23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BC7E09" w:rsidRDefault="00BC7E09" w:rsidP="00BC7E09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原料投入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7E09" w:rsidRPr="00321D92" w:rsidRDefault="00BC7E09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321D9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铝液</w:t>
            </w:r>
          </w:p>
        </w:tc>
        <w:tc>
          <w:tcPr>
            <w:tcW w:w="15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7E09" w:rsidRDefault="00BC7E09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0.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813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315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7E09" w:rsidRDefault="00D9488A" w:rsidP="00D9488A">
            <w:pPr>
              <w:pStyle w:val="a7"/>
              <w:widowControl/>
              <w:spacing w:beforeAutospacing="0" w:afterAutospacing="0"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管理部数统信息科、铝基中间合金工部、技术研发中心提供数据</w:t>
            </w:r>
          </w:p>
        </w:tc>
      </w:tr>
      <w:tr w:rsidR="00BC7E09" w:rsidTr="00F63E00">
        <w:trPr>
          <w:trHeight w:hRule="exact" w:val="567"/>
          <w:jc w:val="center"/>
        </w:trPr>
        <w:tc>
          <w:tcPr>
            <w:tcW w:w="23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BC7E09" w:rsidRDefault="00BC7E09" w:rsidP="00BC7E09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7E09" w:rsidRPr="00321D92" w:rsidRDefault="00BC7E09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321D92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铝锭</w:t>
            </w:r>
          </w:p>
        </w:tc>
        <w:tc>
          <w:tcPr>
            <w:tcW w:w="15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7E09" w:rsidRDefault="00BC7E09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0.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203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315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7E09" w:rsidRDefault="00BC7E09" w:rsidP="00BC7E09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BC7E09" w:rsidTr="00F63E00">
        <w:trPr>
          <w:trHeight w:hRule="exact" w:val="567"/>
          <w:jc w:val="center"/>
        </w:trPr>
        <w:tc>
          <w:tcPr>
            <w:tcW w:w="23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BC7E09" w:rsidRDefault="00BC7E09" w:rsidP="00BC7E09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7E09" w:rsidRDefault="00BC7E09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氟钛酸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钾</w:t>
            </w:r>
          </w:p>
        </w:tc>
        <w:tc>
          <w:tcPr>
            <w:tcW w:w="15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7E09" w:rsidRDefault="00BC7E09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0.</w:t>
            </w:r>
            <w:r w:rsidR="00651508"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261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315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7E09" w:rsidRDefault="00BC7E09" w:rsidP="00BC7E09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7F3D0A" w:rsidTr="00F63E00">
        <w:trPr>
          <w:trHeight w:hRule="exact" w:val="567"/>
          <w:jc w:val="center"/>
        </w:trPr>
        <w:tc>
          <w:tcPr>
            <w:tcW w:w="23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7F3D0A" w:rsidRDefault="007F3D0A" w:rsidP="007F3D0A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3D0A" w:rsidRDefault="007F3D0A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氟硼酸钾</w:t>
            </w:r>
          </w:p>
        </w:tc>
        <w:tc>
          <w:tcPr>
            <w:tcW w:w="15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3D0A" w:rsidRDefault="007F3D0A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0.11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3157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7F3D0A" w:rsidRDefault="007F3D0A" w:rsidP="007F3D0A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7F3D0A" w:rsidTr="00F63E00">
        <w:trPr>
          <w:trHeight w:hRule="exact" w:val="567"/>
          <w:jc w:val="center"/>
        </w:trPr>
        <w:tc>
          <w:tcPr>
            <w:tcW w:w="23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7F3D0A" w:rsidRDefault="007F3D0A" w:rsidP="007F3D0A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3D0A" w:rsidRPr="0043464E" w:rsidRDefault="007F3D0A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  <w:highlight w:val="cyan"/>
              </w:rPr>
            </w:pPr>
            <w:r w:rsidRPr="00AE7215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边废料</w:t>
            </w:r>
          </w:p>
        </w:tc>
        <w:tc>
          <w:tcPr>
            <w:tcW w:w="15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3D0A" w:rsidRDefault="007F3D0A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0.0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315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3D0A" w:rsidRDefault="007F3D0A" w:rsidP="007F3D0A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7F3D0A" w:rsidTr="00F63E00">
        <w:trPr>
          <w:trHeight w:val="390"/>
          <w:jc w:val="center"/>
        </w:trPr>
        <w:tc>
          <w:tcPr>
            <w:tcW w:w="239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3D0A" w:rsidRDefault="007F3D0A" w:rsidP="007F3D0A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产品加工</w:t>
            </w:r>
          </w:p>
        </w:tc>
        <w:tc>
          <w:tcPr>
            <w:tcW w:w="2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3D0A" w:rsidRPr="00AC06AD" w:rsidRDefault="007F3D0A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AC06AD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电</w:t>
            </w:r>
          </w:p>
        </w:tc>
        <w:tc>
          <w:tcPr>
            <w:tcW w:w="15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3D0A" w:rsidRDefault="007F3D0A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518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KWh</w:t>
            </w:r>
          </w:p>
        </w:tc>
        <w:tc>
          <w:tcPr>
            <w:tcW w:w="315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3D0A" w:rsidRDefault="007F3D0A" w:rsidP="007F3D0A">
            <w:pPr>
              <w:pStyle w:val="a7"/>
              <w:widowControl/>
              <w:spacing w:beforeAutospacing="0" w:afterAutospacing="0"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管理部数统信息科、晶粒细化剂工部提供数据</w:t>
            </w:r>
          </w:p>
        </w:tc>
      </w:tr>
      <w:tr w:rsidR="007F3D0A" w:rsidTr="00F63E00">
        <w:trPr>
          <w:trHeight w:val="390"/>
          <w:jc w:val="center"/>
        </w:trPr>
        <w:tc>
          <w:tcPr>
            <w:tcW w:w="2395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3D0A" w:rsidRDefault="007F3D0A" w:rsidP="007F3D0A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3D0A" w:rsidRPr="00AC06AD" w:rsidRDefault="007F3D0A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AC06AD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天然气</w:t>
            </w:r>
          </w:p>
        </w:tc>
        <w:tc>
          <w:tcPr>
            <w:tcW w:w="151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3D0A" w:rsidRDefault="007F3D0A" w:rsidP="00F63E00">
            <w:pPr>
              <w:pStyle w:val="a7"/>
              <w:widowControl/>
              <w:spacing w:beforeAutospacing="0" w:afterAutospacing="0" w:line="44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51.2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m3</w:t>
            </w:r>
          </w:p>
        </w:tc>
        <w:tc>
          <w:tcPr>
            <w:tcW w:w="3157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3D0A" w:rsidRDefault="007F3D0A" w:rsidP="007F3D0A">
            <w:pPr>
              <w:pStyle w:val="a7"/>
              <w:widowControl/>
              <w:spacing w:beforeAutospacing="0" w:afterAutospacing="0" w:line="360" w:lineRule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</w:tbl>
    <w:p w:rsidR="00756A3E" w:rsidRDefault="00DD4549">
      <w:pPr>
        <w:pStyle w:val="a7"/>
        <w:widowControl/>
        <w:spacing w:beforeAutospacing="0" w:afterAutospacing="0" w:line="36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3D786BF6" wp14:editId="4FD283D9">
            <wp:simplePos x="0" y="0"/>
            <wp:positionH relativeFrom="column">
              <wp:posOffset>6350</wp:posOffset>
            </wp:positionH>
            <wp:positionV relativeFrom="paragraph">
              <wp:posOffset>-224459</wp:posOffset>
            </wp:positionV>
            <wp:extent cx="721718" cy="197485"/>
            <wp:effectExtent l="0" t="0" r="2540" b="0"/>
            <wp:wrapNone/>
            <wp:docPr id="7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16F6E58F-A9C1-463B-8C37-860DCC9B01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112" name="图片 2">
                      <a:extLst>
                        <a:ext uri="{FF2B5EF4-FFF2-40B4-BE49-F238E27FC236}">
                          <a16:creationId xmlns:a16="http://schemas.microsoft.com/office/drawing/2014/main" id="{16F6E58F-A9C1-463B-8C37-860DCC9B01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18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90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表4</w:t>
      </w:r>
      <w:r w:rsidR="00531FA3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铝晶粒细化剂产品</w:t>
      </w:r>
      <w:r w:rsidR="00531FA3">
        <w:rPr>
          <w:rFonts w:ascii="仿宋_GB2312" w:eastAsia="仿宋_GB2312" w:hAnsi="仿宋_GB2312" w:cs="仿宋_GB2312" w:hint="eastAsia"/>
          <w:bCs/>
          <w:sz w:val="28"/>
          <w:szCs w:val="28"/>
        </w:rPr>
        <w:t>(按AlTi5B1产品计)</w:t>
      </w:r>
      <w:r w:rsidR="00F1290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清单数据</w:t>
      </w:r>
    </w:p>
    <w:tbl>
      <w:tblPr>
        <w:tblW w:w="964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373"/>
        <w:gridCol w:w="2714"/>
        <w:gridCol w:w="2362"/>
      </w:tblGrid>
      <w:tr w:rsidR="00756A3E">
        <w:trPr>
          <w:trHeight w:val="729"/>
          <w:jc w:val="center"/>
        </w:trPr>
        <w:tc>
          <w:tcPr>
            <w:tcW w:w="45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F1290C">
            <w:pPr>
              <w:pStyle w:val="a7"/>
              <w:widowControl/>
              <w:spacing w:beforeAutospacing="0" w:afterAutospacing="0" w:line="500" w:lineRule="exact"/>
              <w:jc w:val="center"/>
              <w:rPr>
                <w:rFonts w:asciiTheme="majorEastAsia" w:eastAsiaTheme="majorEastAsia" w:hAnsiTheme="majorEastAsia" w:cs="楷体"/>
                <w:bCs/>
              </w:rPr>
            </w:pPr>
            <w:r>
              <w:rPr>
                <w:rFonts w:asciiTheme="majorEastAsia" w:eastAsiaTheme="majorEastAsia" w:hAnsiTheme="majorEastAsia" w:cs="楷体" w:hint="eastAsia"/>
                <w:bCs/>
              </w:rPr>
              <w:t>数据类型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F1290C">
            <w:pPr>
              <w:pStyle w:val="a7"/>
              <w:widowControl/>
              <w:spacing w:beforeAutospacing="0" w:afterAutospacing="0" w:line="500" w:lineRule="exact"/>
              <w:jc w:val="center"/>
              <w:rPr>
                <w:rFonts w:asciiTheme="majorEastAsia" w:eastAsiaTheme="majorEastAsia" w:hAnsiTheme="majorEastAsia" w:cs="楷体"/>
                <w:bCs/>
              </w:rPr>
            </w:pPr>
            <w:r>
              <w:rPr>
                <w:rFonts w:asciiTheme="majorEastAsia" w:eastAsiaTheme="majorEastAsia" w:hAnsiTheme="majorEastAsia" w:cs="楷体" w:hint="eastAsia"/>
                <w:bCs/>
              </w:rPr>
              <w:t>量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56A3E" w:rsidRDefault="00F1290C">
            <w:pPr>
              <w:pStyle w:val="a7"/>
              <w:widowControl/>
              <w:spacing w:beforeAutospacing="0" w:afterAutospacing="0" w:line="500" w:lineRule="exact"/>
              <w:jc w:val="center"/>
              <w:rPr>
                <w:rFonts w:asciiTheme="majorEastAsia" w:eastAsiaTheme="majorEastAsia" w:hAnsiTheme="majorEastAsia" w:cs="楷体"/>
                <w:bCs/>
              </w:rPr>
            </w:pPr>
            <w:r>
              <w:rPr>
                <w:rFonts w:asciiTheme="majorEastAsia" w:eastAsiaTheme="majorEastAsia" w:hAnsiTheme="majorEastAsia" w:cs="楷体" w:hint="eastAsia"/>
                <w:bCs/>
              </w:rPr>
              <w:t>处置方式</w:t>
            </w:r>
          </w:p>
        </w:tc>
      </w:tr>
      <w:tr w:rsidR="002A2E37">
        <w:trPr>
          <w:trHeight w:val="270"/>
          <w:jc w:val="center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2E37" w:rsidRDefault="002A2E37" w:rsidP="002A2E37">
            <w:pPr>
              <w:pStyle w:val="a7"/>
              <w:widowControl/>
              <w:spacing w:beforeAutospacing="0" w:afterAutospacing="0" w:line="500" w:lineRule="exact"/>
              <w:rPr>
                <w:rFonts w:asciiTheme="majorEastAsia" w:eastAsiaTheme="majorEastAsia" w:hAnsiTheme="majorEastAsia" w:cs="楷体"/>
                <w:bCs/>
              </w:rPr>
            </w:pPr>
            <w:r>
              <w:rPr>
                <w:rFonts w:asciiTheme="majorEastAsia" w:eastAsiaTheme="majorEastAsia" w:hAnsiTheme="majorEastAsia" w:cs="楷体" w:hint="eastAsia"/>
                <w:bCs/>
              </w:rPr>
              <w:t>环境外排（吨铝晶粒细化剂产品）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2E37" w:rsidRPr="002A2E37" w:rsidRDefault="002A2E37" w:rsidP="00EF4A1D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2A2E3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边废料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2E37" w:rsidRPr="002A2E37" w:rsidRDefault="002A2E37" w:rsidP="00EF4A1D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8"/>
                <w:szCs w:val="28"/>
              </w:rPr>
            </w:pPr>
            <w:r w:rsidRPr="002A2E3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0.0</w:t>
            </w:r>
            <w:r w:rsidR="00065FBD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20</w:t>
            </w:r>
            <w:r w:rsidRPr="002A2E3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t/a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2E37" w:rsidRPr="002A2E37" w:rsidRDefault="002A2E37" w:rsidP="00EF4A1D">
            <w:pPr>
              <w:pStyle w:val="a7"/>
              <w:widowControl/>
              <w:spacing w:beforeAutospacing="0" w:afterAutospacing="0" w:line="440" w:lineRule="exact"/>
              <w:rPr>
                <w:rFonts w:asciiTheme="majorEastAsia" w:eastAsiaTheme="majorEastAsia" w:hAnsiTheme="majorEastAsia" w:cs="楷体"/>
                <w:bCs/>
              </w:rPr>
            </w:pPr>
            <w:r w:rsidRPr="002A2E37">
              <w:rPr>
                <w:rFonts w:asciiTheme="majorEastAsia" w:eastAsiaTheme="majorEastAsia" w:hAnsiTheme="majorEastAsia" w:cs="楷体" w:hint="eastAsia"/>
                <w:bCs/>
              </w:rPr>
              <w:t>回收利用</w:t>
            </w:r>
          </w:p>
        </w:tc>
      </w:tr>
      <w:tr w:rsidR="002A2E37">
        <w:trPr>
          <w:trHeight w:val="270"/>
          <w:jc w:val="center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2E37" w:rsidRDefault="002A2E37" w:rsidP="002A2E37">
            <w:pPr>
              <w:pStyle w:val="a7"/>
              <w:widowControl/>
              <w:spacing w:beforeAutospacing="0" w:afterAutospacing="0" w:line="500" w:lineRule="exact"/>
              <w:rPr>
                <w:rFonts w:asciiTheme="majorEastAsia" w:eastAsiaTheme="majorEastAsia" w:hAnsiTheme="majorEastAsia" w:cs="楷体"/>
                <w:bCs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2E37" w:rsidRPr="002A2E37" w:rsidRDefault="002A2E37" w:rsidP="00EF4A1D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Theme="majorEastAsia" w:eastAsiaTheme="majorEastAsia" w:hAnsiTheme="majorEastAsia" w:cs="楷体"/>
                <w:bCs/>
              </w:rPr>
            </w:pPr>
            <w:r w:rsidRPr="002A2E3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电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2E37" w:rsidRPr="002A2E37" w:rsidRDefault="002A2E37" w:rsidP="00EF4A1D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Theme="majorEastAsia" w:eastAsiaTheme="majorEastAsia" w:hAnsiTheme="majorEastAsia" w:cs="楷体"/>
                <w:bCs/>
              </w:rPr>
            </w:pPr>
            <w:r w:rsidRPr="002A2E3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0.</w:t>
            </w:r>
            <w:r w:rsidR="00F572C2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3300</w:t>
            </w:r>
            <w:r w:rsidRPr="002A2E3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公吨CO2e/年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2E37" w:rsidRPr="002A2E37" w:rsidRDefault="002A2E37" w:rsidP="00EF4A1D">
            <w:pPr>
              <w:pStyle w:val="a7"/>
              <w:widowControl/>
              <w:spacing w:beforeAutospacing="0" w:afterAutospacing="0" w:line="440" w:lineRule="exact"/>
              <w:rPr>
                <w:rFonts w:asciiTheme="majorEastAsia" w:eastAsiaTheme="majorEastAsia" w:hAnsiTheme="majorEastAsia" w:cs="楷体"/>
                <w:bCs/>
              </w:rPr>
            </w:pPr>
            <w:r w:rsidRPr="002A2E37">
              <w:rPr>
                <w:rFonts w:asciiTheme="majorEastAsia" w:eastAsiaTheme="majorEastAsia" w:hAnsiTheme="majorEastAsia" w:cs="楷体" w:hint="eastAsia"/>
                <w:bCs/>
              </w:rPr>
              <w:t>温室气体外排（间接排放）</w:t>
            </w:r>
          </w:p>
        </w:tc>
      </w:tr>
      <w:tr w:rsidR="002A2E37">
        <w:trPr>
          <w:trHeight w:val="270"/>
          <w:jc w:val="center"/>
        </w:trPr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2E37" w:rsidRDefault="002A2E37" w:rsidP="002A2E37">
            <w:pPr>
              <w:pStyle w:val="a7"/>
              <w:widowControl/>
              <w:spacing w:beforeAutospacing="0" w:afterAutospacing="0" w:line="500" w:lineRule="exact"/>
              <w:rPr>
                <w:rFonts w:asciiTheme="majorEastAsia" w:eastAsiaTheme="majorEastAsia" w:hAnsiTheme="majorEastAsia" w:cs="楷体"/>
                <w:bCs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2E37" w:rsidRPr="002A2E37" w:rsidRDefault="002A2E37" w:rsidP="00EF4A1D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Theme="majorEastAsia" w:eastAsiaTheme="majorEastAsia" w:hAnsiTheme="majorEastAsia" w:cs="楷体"/>
                <w:bCs/>
              </w:rPr>
            </w:pPr>
            <w:r w:rsidRPr="002A2E3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天然气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2E37" w:rsidRPr="002A2E37" w:rsidRDefault="002A2E37" w:rsidP="00EF4A1D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Theme="majorEastAsia" w:eastAsiaTheme="majorEastAsia" w:hAnsiTheme="majorEastAsia" w:cs="楷体"/>
                <w:bCs/>
              </w:rPr>
            </w:pPr>
            <w:r w:rsidRPr="002A2E3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0.</w:t>
            </w:r>
            <w:r w:rsidR="00F572C2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1368</w:t>
            </w:r>
            <w:r w:rsidRPr="002A2E37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公吨CO2e/年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2E37" w:rsidRPr="002A2E37" w:rsidRDefault="002A2E37" w:rsidP="00EF4A1D">
            <w:pPr>
              <w:pStyle w:val="a7"/>
              <w:widowControl/>
              <w:spacing w:beforeAutospacing="0" w:afterAutospacing="0" w:line="440" w:lineRule="exact"/>
              <w:rPr>
                <w:rFonts w:asciiTheme="majorEastAsia" w:eastAsiaTheme="majorEastAsia" w:hAnsiTheme="majorEastAsia" w:cs="楷体"/>
                <w:bCs/>
              </w:rPr>
            </w:pPr>
            <w:r w:rsidRPr="002A2E37">
              <w:rPr>
                <w:rFonts w:asciiTheme="majorEastAsia" w:eastAsiaTheme="majorEastAsia" w:hAnsiTheme="majorEastAsia" w:cs="楷体" w:hint="eastAsia"/>
                <w:bCs/>
              </w:rPr>
              <w:t>温室气体外排</w:t>
            </w:r>
          </w:p>
        </w:tc>
      </w:tr>
      <w:tr w:rsidR="002A2E37">
        <w:trPr>
          <w:trHeight w:val="270"/>
          <w:jc w:val="center"/>
        </w:trPr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2E37" w:rsidRDefault="002A2E37" w:rsidP="002A2E37">
            <w:pPr>
              <w:pStyle w:val="a7"/>
              <w:widowControl/>
              <w:spacing w:beforeAutospacing="0" w:afterAutospacing="0" w:line="500" w:lineRule="exact"/>
              <w:rPr>
                <w:rFonts w:asciiTheme="majorEastAsia" w:eastAsiaTheme="majorEastAsia" w:hAnsiTheme="majorEastAsia" w:cs="楷体"/>
                <w:bCs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2E37" w:rsidRPr="002A2E37" w:rsidRDefault="002A2E37" w:rsidP="00EF4A1D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Theme="majorEastAsia" w:eastAsiaTheme="majorEastAsia" w:hAnsiTheme="majorEastAsia" w:cs="楷体"/>
                <w:bCs/>
              </w:rPr>
            </w:pPr>
            <w:r w:rsidRPr="002A2E37">
              <w:rPr>
                <w:rFonts w:asciiTheme="majorEastAsia" w:eastAsiaTheme="majorEastAsia" w:hAnsiTheme="majorEastAsia" w:cs="楷体" w:hint="eastAsia"/>
                <w:bCs/>
              </w:rPr>
              <w:t>铝灰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2E37" w:rsidRPr="002A2E37" w:rsidRDefault="002A2E37" w:rsidP="00EF4A1D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Theme="majorEastAsia" w:eastAsiaTheme="majorEastAsia" w:hAnsiTheme="majorEastAsia" w:cs="楷体"/>
                <w:bCs/>
              </w:rPr>
            </w:pPr>
            <w:r w:rsidRPr="002A2E37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0.0</w:t>
            </w:r>
            <w:r w:rsidR="00065FBD"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1</w:t>
            </w:r>
            <w:r w:rsidRPr="002A2E37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5吨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A2E37" w:rsidRPr="002A2E37" w:rsidRDefault="002A2E37" w:rsidP="00EF4A1D">
            <w:pPr>
              <w:pStyle w:val="a7"/>
              <w:widowControl/>
              <w:spacing w:beforeAutospacing="0" w:afterAutospacing="0" w:line="440" w:lineRule="exact"/>
              <w:rPr>
                <w:rFonts w:asciiTheme="majorEastAsia" w:eastAsiaTheme="majorEastAsia" w:hAnsiTheme="majorEastAsia" w:cs="楷体"/>
                <w:bCs/>
              </w:rPr>
            </w:pPr>
            <w:r w:rsidRPr="002A2E37">
              <w:rPr>
                <w:rFonts w:asciiTheme="majorEastAsia" w:eastAsiaTheme="majorEastAsia" w:hAnsiTheme="majorEastAsia" w:cs="楷体" w:hint="eastAsia"/>
                <w:bCs/>
              </w:rPr>
              <w:t>委托处置</w:t>
            </w:r>
          </w:p>
        </w:tc>
      </w:tr>
    </w:tbl>
    <w:p w:rsidR="00E76F0A" w:rsidRDefault="00E76F0A" w:rsidP="00394CF6">
      <w:pPr>
        <w:pStyle w:val="a7"/>
        <w:widowControl/>
        <w:spacing w:beforeLines="50" w:before="156" w:beforeAutospacing="0" w:afterLines="50" w:after="156" w:afterAutospacing="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2.3</w:t>
      </w:r>
      <w:r>
        <w:rPr>
          <w:rFonts w:ascii="仿宋_GB2312" w:eastAsia="仿宋_GB2312" w:hAnsi="仿宋_GB2312" w:cs="仿宋_GB2312"/>
          <w:bCs/>
          <w:sz w:val="28"/>
          <w:szCs w:val="28"/>
        </w:rPr>
        <w:t>.3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bCs/>
          <w:sz w:val="28"/>
          <w:szCs w:val="28"/>
        </w:rPr>
        <w:t>边废料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(工艺</w:t>
      </w:r>
      <w:r>
        <w:rPr>
          <w:rFonts w:ascii="仿宋_GB2312" w:eastAsia="仿宋_GB2312" w:hAnsi="仿宋_GB2312" w:cs="仿宋_GB2312"/>
          <w:bCs/>
          <w:sz w:val="28"/>
          <w:szCs w:val="28"/>
        </w:rPr>
        <w:t>废料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)回收</w:t>
      </w:r>
      <w:r w:rsidR="002B43DC">
        <w:rPr>
          <w:rFonts w:ascii="仿宋_GB2312" w:eastAsia="仿宋_GB2312" w:hAnsi="仿宋_GB2312" w:cs="仿宋_GB2312" w:hint="eastAsia"/>
          <w:bCs/>
          <w:sz w:val="28"/>
          <w:szCs w:val="28"/>
        </w:rPr>
        <w:t>利用</w:t>
      </w:r>
    </w:p>
    <w:p w:rsidR="00377AE0" w:rsidRDefault="008847E4" w:rsidP="00A1182A">
      <w:pPr>
        <w:pStyle w:val="a7"/>
        <w:widowControl/>
        <w:spacing w:beforeAutospacing="0" w:afterAutospacing="0" w:line="360" w:lineRule="auto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我公司</w:t>
      </w:r>
      <w:r w:rsidR="003F3940">
        <w:rPr>
          <w:rFonts w:ascii="仿宋_GB2312" w:eastAsia="仿宋_GB2312" w:hAnsi="仿宋_GB2312" w:cs="仿宋_GB2312"/>
          <w:bCs/>
          <w:sz w:val="28"/>
          <w:szCs w:val="28"/>
        </w:rPr>
        <w:t>边废料</w:t>
      </w:r>
      <w:r w:rsidR="003F3940">
        <w:rPr>
          <w:rFonts w:ascii="仿宋_GB2312" w:eastAsia="仿宋_GB2312" w:hAnsi="仿宋_GB2312" w:cs="仿宋_GB2312" w:hint="eastAsia"/>
          <w:bCs/>
          <w:sz w:val="28"/>
          <w:szCs w:val="28"/>
        </w:rPr>
        <w:t>(工艺</w:t>
      </w:r>
      <w:r w:rsidR="003F3940">
        <w:rPr>
          <w:rFonts w:ascii="仿宋_GB2312" w:eastAsia="仿宋_GB2312" w:hAnsi="仿宋_GB2312" w:cs="仿宋_GB2312"/>
          <w:bCs/>
          <w:sz w:val="28"/>
          <w:szCs w:val="28"/>
        </w:rPr>
        <w:t>废料</w:t>
      </w:r>
      <w:r w:rsidR="003F3940">
        <w:rPr>
          <w:rFonts w:ascii="仿宋_GB2312" w:eastAsia="仿宋_GB2312" w:hAnsi="仿宋_GB2312" w:cs="仿宋_GB2312" w:hint="eastAsia"/>
          <w:bCs/>
          <w:sz w:val="28"/>
          <w:szCs w:val="28"/>
        </w:rPr>
        <w:t>)的</w:t>
      </w:r>
      <w:r w:rsidR="003F3940">
        <w:rPr>
          <w:rFonts w:ascii="仿宋_GB2312" w:eastAsia="仿宋_GB2312" w:hAnsi="仿宋_GB2312" w:cs="仿宋_GB2312"/>
          <w:bCs/>
          <w:sz w:val="28"/>
          <w:szCs w:val="28"/>
        </w:rPr>
        <w:t>回收目标为</w:t>
      </w:r>
      <w:r w:rsidR="003F3940">
        <w:rPr>
          <w:rFonts w:ascii="仿宋_GB2312" w:eastAsia="仿宋_GB2312" w:hAnsi="仿宋_GB2312" w:cs="仿宋_GB2312" w:hint="eastAsia"/>
          <w:bCs/>
          <w:sz w:val="28"/>
          <w:szCs w:val="28"/>
        </w:rPr>
        <w:t>100</w:t>
      </w:r>
      <w:r w:rsidR="003F3940">
        <w:rPr>
          <w:rFonts w:ascii="仿宋_GB2312" w:eastAsia="仿宋_GB2312" w:hAnsi="仿宋_GB2312" w:cs="仿宋_GB2312"/>
          <w:bCs/>
          <w:sz w:val="28"/>
          <w:szCs w:val="28"/>
        </w:rPr>
        <w:t>%</w:t>
      </w:r>
      <w:r w:rsidR="00D27FD9">
        <w:rPr>
          <w:rFonts w:ascii="仿宋_GB2312" w:eastAsia="仿宋_GB2312" w:hAnsi="仿宋_GB2312" w:cs="仿宋_GB2312"/>
          <w:bCs/>
          <w:sz w:val="28"/>
          <w:szCs w:val="28"/>
        </w:rPr>
        <w:t>，通过工艺和生产管理，生产过程中产生的废料全部回收并</w:t>
      </w:r>
      <w:r w:rsidR="00D27FD9">
        <w:rPr>
          <w:rFonts w:ascii="仿宋_GB2312" w:eastAsia="仿宋_GB2312" w:hAnsi="仿宋_GB2312" w:cs="仿宋_GB2312" w:hint="eastAsia"/>
          <w:bCs/>
          <w:sz w:val="28"/>
          <w:szCs w:val="28"/>
        </w:rPr>
        <w:t>回炉</w:t>
      </w:r>
      <w:r w:rsidR="003F3940">
        <w:rPr>
          <w:rFonts w:ascii="仿宋_GB2312" w:eastAsia="仿宋_GB2312" w:hAnsi="仿宋_GB2312" w:cs="仿宋_GB2312"/>
          <w:bCs/>
          <w:sz w:val="28"/>
          <w:szCs w:val="28"/>
        </w:rPr>
        <w:t>重用。回收</w:t>
      </w:r>
      <w:r w:rsidR="003F3940">
        <w:rPr>
          <w:rFonts w:ascii="仿宋_GB2312" w:eastAsia="仿宋_GB2312" w:hAnsi="仿宋_GB2312" w:cs="仿宋_GB2312" w:hint="eastAsia"/>
          <w:bCs/>
          <w:sz w:val="28"/>
          <w:szCs w:val="28"/>
        </w:rPr>
        <w:t>的</w:t>
      </w:r>
      <w:r w:rsidR="003F3940">
        <w:rPr>
          <w:rFonts w:ascii="仿宋_GB2312" w:eastAsia="仿宋_GB2312" w:hAnsi="仿宋_GB2312" w:cs="仿宋_GB2312"/>
          <w:bCs/>
          <w:sz w:val="28"/>
          <w:szCs w:val="28"/>
        </w:rPr>
        <w:t>废料</w:t>
      </w:r>
      <w:r w:rsidR="00A1182A">
        <w:rPr>
          <w:rFonts w:ascii="仿宋_GB2312" w:eastAsia="仿宋_GB2312" w:hAnsi="仿宋_GB2312" w:cs="仿宋_GB2312"/>
          <w:bCs/>
          <w:sz w:val="28"/>
          <w:szCs w:val="28"/>
        </w:rPr>
        <w:t>制定回收标准，按类进行回收</w:t>
      </w:r>
      <w:r w:rsidR="003F3940">
        <w:rPr>
          <w:rFonts w:ascii="仿宋_GB2312" w:eastAsia="仿宋_GB2312" w:hAnsi="仿宋_GB2312" w:cs="仿宋_GB2312"/>
          <w:bCs/>
          <w:sz w:val="28"/>
          <w:szCs w:val="28"/>
        </w:rPr>
        <w:t>并进行质量管控，</w:t>
      </w:r>
      <w:r w:rsidR="003F3940">
        <w:rPr>
          <w:rFonts w:ascii="仿宋_GB2312" w:eastAsia="仿宋_GB2312" w:hAnsi="仿宋_GB2312" w:cs="仿宋_GB2312" w:hint="eastAsia"/>
          <w:bCs/>
          <w:sz w:val="28"/>
          <w:szCs w:val="28"/>
        </w:rPr>
        <w:t>提高</w:t>
      </w:r>
      <w:r w:rsidR="003F3940">
        <w:rPr>
          <w:rFonts w:ascii="仿宋_GB2312" w:eastAsia="仿宋_GB2312" w:hAnsi="仿宋_GB2312" w:cs="仿宋_GB2312"/>
          <w:bCs/>
          <w:sz w:val="28"/>
          <w:szCs w:val="28"/>
        </w:rPr>
        <w:t>边废料的回收利用价值和品质，保证回收目标的实现</w:t>
      </w:r>
      <w:r w:rsidR="003F3940">
        <w:rPr>
          <w:rFonts w:ascii="仿宋_GB2312" w:eastAsia="仿宋_GB2312" w:hAnsi="仿宋_GB2312" w:cs="仿宋_GB2312" w:hint="eastAsia"/>
          <w:bCs/>
          <w:sz w:val="28"/>
          <w:szCs w:val="28"/>
        </w:rPr>
        <w:t>。</w:t>
      </w:r>
    </w:p>
    <w:p w:rsidR="00756A3E" w:rsidRDefault="00F1290C" w:rsidP="00644B31">
      <w:pPr>
        <w:pStyle w:val="a7"/>
        <w:widowControl/>
        <w:spacing w:beforeLines="50" w:before="156" w:beforeAutospacing="0" w:afterLines="50" w:after="156" w:afterAutospacing="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3、结论</w:t>
      </w:r>
    </w:p>
    <w:p w:rsidR="00756A3E" w:rsidRDefault="00F1290C" w:rsidP="00A3147A">
      <w:pPr>
        <w:pStyle w:val="a7"/>
        <w:widowControl/>
        <w:spacing w:beforeAutospacing="0" w:afterAutospacing="0"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3.1</w:t>
      </w:r>
      <w:r w:rsidR="00B374D8">
        <w:rPr>
          <w:rFonts w:ascii="仿宋_GB2312" w:eastAsia="仿宋_GB2312" w:hAnsi="仿宋_GB2312" w:cs="仿宋_GB2312" w:hint="eastAsia"/>
          <w:bCs/>
          <w:sz w:val="28"/>
          <w:szCs w:val="28"/>
        </w:rPr>
        <w:t>铝中间合金产品、铝晶粒细化剂</w:t>
      </w:r>
      <w:r w:rsidR="003C55E8">
        <w:rPr>
          <w:rFonts w:ascii="仿宋_GB2312" w:eastAsia="仿宋_GB2312" w:hAnsi="仿宋_GB2312" w:cs="仿宋_GB2312" w:hint="eastAsia"/>
          <w:bCs/>
          <w:sz w:val="28"/>
          <w:szCs w:val="28"/>
        </w:rPr>
        <w:t>产品的全生命周期环境影响主要集中在产品加工阶段，</w:t>
      </w:r>
      <w:r w:rsidR="009257C1">
        <w:rPr>
          <w:rFonts w:ascii="仿宋_GB2312" w:eastAsia="仿宋_GB2312" w:hAnsi="仿宋_GB2312" w:cs="仿宋_GB2312" w:hint="eastAsia"/>
          <w:bCs/>
          <w:sz w:val="28"/>
          <w:szCs w:val="28"/>
        </w:rPr>
        <w:t>对气候变化和生态毒性方面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影响</w:t>
      </w:r>
      <w:r w:rsidR="009257C1">
        <w:rPr>
          <w:rFonts w:ascii="仿宋_GB2312" w:eastAsia="仿宋_GB2312" w:hAnsi="仿宋_GB2312" w:cs="仿宋_GB2312" w:hint="eastAsia"/>
          <w:bCs/>
          <w:sz w:val="28"/>
          <w:szCs w:val="28"/>
        </w:rPr>
        <w:t>较小</w:t>
      </w:r>
      <w:r w:rsidR="008847E4">
        <w:rPr>
          <w:rFonts w:ascii="仿宋_GB2312" w:eastAsia="仿宋_GB2312" w:hAnsi="仿宋_GB2312" w:cs="仿宋_GB2312" w:hint="eastAsia"/>
          <w:bCs/>
          <w:sz w:val="28"/>
          <w:szCs w:val="28"/>
        </w:rPr>
        <w:t>，我</w:t>
      </w:r>
      <w:r w:rsidR="008847E4">
        <w:rPr>
          <w:rFonts w:ascii="仿宋_GB2312" w:eastAsia="仿宋_GB2312" w:hAnsi="仿宋_GB2312" w:cs="仿宋_GB2312"/>
          <w:bCs/>
          <w:sz w:val="28"/>
          <w:szCs w:val="28"/>
        </w:rPr>
        <w:t>公司</w:t>
      </w:r>
      <w:r w:rsidR="00FE0C90">
        <w:rPr>
          <w:rFonts w:ascii="仿宋_GB2312" w:eastAsia="仿宋_GB2312" w:hAnsi="仿宋_GB2312" w:cs="仿宋_GB2312" w:hint="eastAsia"/>
          <w:bCs/>
          <w:sz w:val="28"/>
          <w:szCs w:val="28"/>
        </w:rPr>
        <w:t>一直</w:t>
      </w:r>
      <w:r w:rsidR="008847E4">
        <w:rPr>
          <w:rFonts w:ascii="仿宋_GB2312" w:eastAsia="仿宋_GB2312" w:hAnsi="仿宋_GB2312" w:cs="仿宋_GB2312"/>
          <w:bCs/>
          <w:sz w:val="28"/>
          <w:szCs w:val="28"/>
        </w:rPr>
        <w:t>致力于</w:t>
      </w:r>
      <w:r w:rsidR="008847E4">
        <w:rPr>
          <w:rFonts w:ascii="仿宋_GB2312" w:eastAsia="仿宋_GB2312" w:hAnsi="仿宋_GB2312" w:cs="仿宋_GB2312" w:hint="eastAsia"/>
          <w:bCs/>
          <w:sz w:val="28"/>
          <w:szCs w:val="28"/>
        </w:rPr>
        <w:t>提高产品</w:t>
      </w:r>
      <w:r w:rsidR="008847E4">
        <w:rPr>
          <w:rFonts w:ascii="仿宋_GB2312" w:eastAsia="仿宋_GB2312" w:hAnsi="仿宋_GB2312" w:cs="仿宋_GB2312"/>
          <w:bCs/>
          <w:sz w:val="28"/>
          <w:szCs w:val="28"/>
        </w:rPr>
        <w:t>成品率，</w:t>
      </w:r>
      <w:r w:rsidR="00FD2D33">
        <w:rPr>
          <w:rFonts w:ascii="仿宋_GB2312" w:eastAsia="仿宋_GB2312" w:hAnsi="仿宋_GB2312" w:cs="仿宋_GB2312" w:hint="eastAsia"/>
          <w:bCs/>
          <w:sz w:val="28"/>
          <w:szCs w:val="28"/>
        </w:rPr>
        <w:t>并</w:t>
      </w:r>
      <w:r w:rsidR="00FD2D33">
        <w:rPr>
          <w:rFonts w:ascii="仿宋_GB2312" w:eastAsia="仿宋_GB2312" w:hAnsi="仿宋_GB2312" w:cs="仿宋_GB2312"/>
          <w:bCs/>
          <w:sz w:val="28"/>
          <w:szCs w:val="28"/>
        </w:rPr>
        <w:t>制定年度节能减排方案，</w:t>
      </w:r>
      <w:r w:rsidR="008847E4">
        <w:rPr>
          <w:rFonts w:ascii="仿宋_GB2312" w:eastAsia="仿宋_GB2312" w:hAnsi="仿宋_GB2312" w:cs="仿宋_GB2312" w:hint="eastAsia"/>
          <w:bCs/>
          <w:sz w:val="28"/>
          <w:szCs w:val="28"/>
        </w:rPr>
        <w:t>降低</w:t>
      </w:r>
      <w:r w:rsidR="008847E4">
        <w:rPr>
          <w:rFonts w:ascii="仿宋_GB2312" w:eastAsia="仿宋_GB2312" w:hAnsi="仿宋_GB2312" w:cs="仿宋_GB2312"/>
          <w:bCs/>
          <w:sz w:val="28"/>
          <w:szCs w:val="28"/>
        </w:rPr>
        <w:t>能源消耗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。</w:t>
      </w:r>
    </w:p>
    <w:p w:rsidR="00BF05F4" w:rsidRPr="007F6DE0" w:rsidRDefault="00F1290C" w:rsidP="008847E4">
      <w:pPr>
        <w:pStyle w:val="a7"/>
        <w:widowControl/>
        <w:spacing w:beforeAutospacing="0" w:afterAutospacing="0"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3.2</w:t>
      </w:r>
      <w:r w:rsidR="008847E4">
        <w:rPr>
          <w:rFonts w:ascii="仿宋_GB2312" w:eastAsia="仿宋_GB2312" w:hAnsi="仿宋_GB2312" w:cs="仿宋_GB2312" w:hint="eastAsia"/>
          <w:bCs/>
          <w:sz w:val="28"/>
          <w:szCs w:val="28"/>
        </w:rPr>
        <w:t>熔炼转化过程的二氧化碳排放主要来源是电能消耗、天然气燃烧。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我</w:t>
      </w:r>
      <w:r w:rsidR="008847E4">
        <w:rPr>
          <w:rFonts w:ascii="仿宋_GB2312" w:eastAsia="仿宋_GB2312" w:hAnsi="仿宋_GB2312" w:cs="仿宋_GB2312" w:hint="eastAsia"/>
          <w:bCs/>
          <w:sz w:val="28"/>
          <w:szCs w:val="28"/>
        </w:rPr>
        <w:t>公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司</w:t>
      </w:r>
      <w:r w:rsidR="00FD799A">
        <w:rPr>
          <w:rFonts w:ascii="仿宋_GB2312" w:eastAsia="仿宋_GB2312" w:hAnsi="仿宋_GB2312" w:cs="仿宋_GB2312" w:hint="eastAsia"/>
          <w:bCs/>
          <w:sz w:val="28"/>
          <w:szCs w:val="28"/>
        </w:rPr>
        <w:t>的等速等温熔铝</w:t>
      </w:r>
      <w:proofErr w:type="gramStart"/>
      <w:r w:rsidR="00FD799A">
        <w:rPr>
          <w:rFonts w:ascii="仿宋_GB2312" w:eastAsia="仿宋_GB2312" w:hAnsi="仿宋_GB2312" w:cs="仿宋_GB2312" w:hint="eastAsia"/>
          <w:bCs/>
          <w:sz w:val="28"/>
          <w:szCs w:val="28"/>
        </w:rPr>
        <w:t>炉采用</w:t>
      </w:r>
      <w:proofErr w:type="gramEnd"/>
      <w:r w:rsidR="00FD799A">
        <w:rPr>
          <w:rFonts w:ascii="仿宋_GB2312" w:eastAsia="仿宋_GB2312" w:hAnsi="仿宋_GB2312" w:cs="仿宋_GB2312" w:hint="eastAsia"/>
          <w:bCs/>
          <w:sz w:val="28"/>
          <w:szCs w:val="28"/>
        </w:rPr>
        <w:t>的</w:t>
      </w:r>
      <w:proofErr w:type="gramStart"/>
      <w:r w:rsidR="00FD799A">
        <w:rPr>
          <w:rFonts w:ascii="仿宋_GB2312" w:eastAsia="仿宋_GB2312" w:hAnsi="仿宋_GB2312" w:cs="仿宋_GB2312" w:hint="eastAsia"/>
          <w:bCs/>
          <w:sz w:val="28"/>
          <w:szCs w:val="28"/>
        </w:rPr>
        <w:t>蓄热式烧嘴</w:t>
      </w:r>
      <w:proofErr w:type="gramEnd"/>
      <w:r w:rsidR="00FD799A">
        <w:rPr>
          <w:rFonts w:ascii="仿宋_GB2312" w:eastAsia="仿宋_GB2312" w:hAnsi="仿宋_GB2312" w:cs="仿宋_GB2312" w:hint="eastAsia"/>
          <w:bCs/>
          <w:sz w:val="28"/>
          <w:szCs w:val="28"/>
        </w:rPr>
        <w:t>为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高效燃烧领域中的最新技术</w:t>
      </w:r>
      <w:r w:rsidR="00BC2F5D">
        <w:rPr>
          <w:rFonts w:ascii="仿宋_GB2312" w:eastAsia="仿宋_GB2312" w:hAnsi="仿宋_GB2312" w:cs="仿宋_GB2312" w:hint="eastAsia"/>
          <w:bCs/>
          <w:sz w:val="28"/>
          <w:szCs w:val="28"/>
        </w:rPr>
        <w:t>，提高燃烧效率，降低天然气能耗，减少温室气体的排放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。</w:t>
      </w:r>
      <w:r w:rsidR="001A5AD8">
        <w:rPr>
          <w:rFonts w:ascii="仿宋_GB2312" w:eastAsia="仿宋_GB2312" w:hAnsi="仿宋_GB2312" w:cs="仿宋_GB2312" w:hint="eastAsia"/>
          <w:bCs/>
          <w:sz w:val="28"/>
          <w:szCs w:val="28"/>
        </w:rPr>
        <w:t>熔铝炉产生的高温烟气经预热室</w:t>
      </w:r>
      <w:r w:rsidR="009E2054" w:rsidRPr="009E2054">
        <w:rPr>
          <w:rFonts w:ascii="仿宋_GB2312" w:eastAsia="仿宋_GB2312" w:hAnsi="仿宋_GB2312" w:cs="仿宋_GB2312" w:hint="eastAsia"/>
          <w:bCs/>
          <w:sz w:val="28"/>
          <w:szCs w:val="28"/>
        </w:rPr>
        <w:t>，</w:t>
      </w:r>
      <w:r w:rsidR="00D028F6">
        <w:rPr>
          <w:rFonts w:ascii="仿宋_GB2312" w:eastAsia="仿宋_GB2312" w:hAnsi="仿宋_GB2312" w:cs="仿宋_GB2312" w:hint="eastAsia"/>
          <w:bCs/>
          <w:sz w:val="28"/>
          <w:szCs w:val="28"/>
        </w:rPr>
        <w:t>通过</w:t>
      </w:r>
      <w:r w:rsidR="001A5AD8" w:rsidRPr="001A5AD8">
        <w:rPr>
          <w:rFonts w:ascii="仿宋_GB2312" w:eastAsia="仿宋_GB2312" w:hAnsi="仿宋_GB2312" w:cs="仿宋_GB2312" w:hint="eastAsia"/>
          <w:bCs/>
          <w:sz w:val="28"/>
          <w:szCs w:val="28"/>
        </w:rPr>
        <w:t>热交换</w:t>
      </w:r>
      <w:r w:rsidR="001A5AD8">
        <w:rPr>
          <w:rFonts w:ascii="仿宋_GB2312" w:eastAsia="仿宋_GB2312" w:hAnsi="仿宋_GB2312" w:cs="仿宋_GB2312" w:hint="eastAsia"/>
          <w:bCs/>
          <w:sz w:val="28"/>
          <w:szCs w:val="28"/>
        </w:rPr>
        <w:t>可将铝锭预热至300℃以上</w:t>
      </w:r>
      <w:r w:rsidR="00027588">
        <w:rPr>
          <w:rFonts w:ascii="仿宋_GB2312" w:eastAsia="仿宋_GB2312" w:hAnsi="仿宋_GB2312" w:cs="仿宋_GB2312" w:hint="eastAsia"/>
          <w:bCs/>
          <w:sz w:val="28"/>
          <w:szCs w:val="28"/>
        </w:rPr>
        <w:t>，提高余热的利用率，降低能耗，</w:t>
      </w:r>
      <w:r w:rsidR="001A5AD8">
        <w:rPr>
          <w:rFonts w:ascii="仿宋_GB2312" w:eastAsia="仿宋_GB2312" w:hAnsi="仿宋_GB2312" w:cs="仿宋_GB2312" w:hint="eastAsia"/>
          <w:bCs/>
          <w:sz w:val="28"/>
          <w:szCs w:val="28"/>
        </w:rPr>
        <w:t>再</w:t>
      </w:r>
      <w:r w:rsidR="007F6DE0">
        <w:rPr>
          <w:rFonts w:ascii="仿宋_GB2312" w:eastAsia="仿宋_GB2312" w:hAnsi="仿宋_GB2312" w:cs="仿宋_GB2312" w:hint="eastAsia"/>
          <w:bCs/>
          <w:sz w:val="28"/>
          <w:szCs w:val="28"/>
        </w:rPr>
        <w:t>经脱硝设备</w:t>
      </w:r>
      <w:r w:rsidR="001A5AD8">
        <w:rPr>
          <w:rFonts w:ascii="仿宋_GB2312" w:eastAsia="仿宋_GB2312" w:hAnsi="仿宋_GB2312" w:cs="仿宋_GB2312" w:hint="eastAsia"/>
          <w:bCs/>
          <w:sz w:val="28"/>
          <w:szCs w:val="28"/>
        </w:rPr>
        <w:t>，</w:t>
      </w:r>
      <w:r w:rsidR="007F6DE0">
        <w:rPr>
          <w:rFonts w:ascii="仿宋_GB2312" w:eastAsia="仿宋_GB2312" w:hAnsi="仿宋_GB2312" w:cs="仿宋_GB2312" w:hint="eastAsia"/>
          <w:bCs/>
          <w:sz w:val="28"/>
          <w:szCs w:val="28"/>
        </w:rPr>
        <w:t>降温，经滤筒除尘，达标</w:t>
      </w:r>
      <w:r w:rsidR="0029299A">
        <w:rPr>
          <w:rFonts w:ascii="仿宋_GB2312" w:eastAsia="仿宋_GB2312" w:hAnsi="仿宋_GB2312" w:cs="仿宋_GB2312" w:hint="eastAsia"/>
          <w:bCs/>
          <w:sz w:val="28"/>
          <w:szCs w:val="28"/>
        </w:rPr>
        <w:t>排放。</w:t>
      </w:r>
    </w:p>
    <w:sectPr w:rsidR="00BF05F4" w:rsidRPr="007F6DE0">
      <w:headerReference w:type="default" r:id="rId11"/>
      <w:pgSz w:w="11906" w:h="16838"/>
      <w:pgMar w:top="1134" w:right="851" w:bottom="1134" w:left="79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EF3" w:rsidRDefault="00F75EF3" w:rsidP="00AF33BD">
      <w:r>
        <w:separator/>
      </w:r>
    </w:p>
  </w:endnote>
  <w:endnote w:type="continuationSeparator" w:id="0">
    <w:p w:rsidR="00F75EF3" w:rsidRDefault="00F75EF3" w:rsidP="00AF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EF3" w:rsidRDefault="00F75EF3" w:rsidP="00AF33BD">
      <w:r>
        <w:separator/>
      </w:r>
    </w:p>
  </w:footnote>
  <w:footnote w:type="continuationSeparator" w:id="0">
    <w:p w:rsidR="00F75EF3" w:rsidRDefault="00F75EF3" w:rsidP="00AF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C" w:rsidRDefault="006C1A2C" w:rsidP="006C1A2C">
    <w:pPr>
      <w:pStyle w:val="a5"/>
      <w:jc w:val="right"/>
    </w:pPr>
    <w:r>
      <w:rPr>
        <w:rFonts w:hint="eastAsia"/>
      </w:rPr>
      <w:t>立中四通轻合金集团股份有限公司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FE7A1463"/>
    <w:rsid w:val="00026D1C"/>
    <w:rsid w:val="00027588"/>
    <w:rsid w:val="00051F72"/>
    <w:rsid w:val="000524EC"/>
    <w:rsid w:val="00052A0C"/>
    <w:rsid w:val="00065FBD"/>
    <w:rsid w:val="00074F69"/>
    <w:rsid w:val="000B1923"/>
    <w:rsid w:val="000C7891"/>
    <w:rsid w:val="000D3BB9"/>
    <w:rsid w:val="000F5A3D"/>
    <w:rsid w:val="00107AEA"/>
    <w:rsid w:val="0011565B"/>
    <w:rsid w:val="00121BEA"/>
    <w:rsid w:val="00140937"/>
    <w:rsid w:val="001437D8"/>
    <w:rsid w:val="00146BD1"/>
    <w:rsid w:val="001620C8"/>
    <w:rsid w:val="00172A27"/>
    <w:rsid w:val="0018116B"/>
    <w:rsid w:val="00193109"/>
    <w:rsid w:val="00194FAE"/>
    <w:rsid w:val="001A5AD8"/>
    <w:rsid w:val="001B527F"/>
    <w:rsid w:val="001D14F2"/>
    <w:rsid w:val="001D2FA4"/>
    <w:rsid w:val="001E7A1C"/>
    <w:rsid w:val="001F3472"/>
    <w:rsid w:val="001F67B6"/>
    <w:rsid w:val="00234CAF"/>
    <w:rsid w:val="002377BC"/>
    <w:rsid w:val="002417DD"/>
    <w:rsid w:val="002756D8"/>
    <w:rsid w:val="0028225D"/>
    <w:rsid w:val="0029299A"/>
    <w:rsid w:val="00292A4D"/>
    <w:rsid w:val="002A2E37"/>
    <w:rsid w:val="002A5596"/>
    <w:rsid w:val="002B43DC"/>
    <w:rsid w:val="002B6A72"/>
    <w:rsid w:val="002C1A96"/>
    <w:rsid w:val="002C1CBD"/>
    <w:rsid w:val="002D5C7D"/>
    <w:rsid w:val="002E01AC"/>
    <w:rsid w:val="002F4033"/>
    <w:rsid w:val="002F4C37"/>
    <w:rsid w:val="00301D4A"/>
    <w:rsid w:val="00305B38"/>
    <w:rsid w:val="003128DB"/>
    <w:rsid w:val="00321D92"/>
    <w:rsid w:val="00347AE6"/>
    <w:rsid w:val="003501D0"/>
    <w:rsid w:val="003545E9"/>
    <w:rsid w:val="00377AE0"/>
    <w:rsid w:val="00394CF6"/>
    <w:rsid w:val="00396848"/>
    <w:rsid w:val="003C37A1"/>
    <w:rsid w:val="003C55E8"/>
    <w:rsid w:val="003C5978"/>
    <w:rsid w:val="003D353B"/>
    <w:rsid w:val="003F3940"/>
    <w:rsid w:val="003F6DD4"/>
    <w:rsid w:val="00426906"/>
    <w:rsid w:val="0043464E"/>
    <w:rsid w:val="00475E4B"/>
    <w:rsid w:val="00481F76"/>
    <w:rsid w:val="0048789B"/>
    <w:rsid w:val="004A1F7B"/>
    <w:rsid w:val="004A3764"/>
    <w:rsid w:val="004B0F0C"/>
    <w:rsid w:val="004D4445"/>
    <w:rsid w:val="004F15C1"/>
    <w:rsid w:val="00500AAA"/>
    <w:rsid w:val="00514BCA"/>
    <w:rsid w:val="0051753E"/>
    <w:rsid w:val="005231D7"/>
    <w:rsid w:val="00525BDC"/>
    <w:rsid w:val="00531FA3"/>
    <w:rsid w:val="00535FDD"/>
    <w:rsid w:val="00542CB0"/>
    <w:rsid w:val="00562512"/>
    <w:rsid w:val="00585FC3"/>
    <w:rsid w:val="005863C6"/>
    <w:rsid w:val="005A5C88"/>
    <w:rsid w:val="005E4E11"/>
    <w:rsid w:val="006031EA"/>
    <w:rsid w:val="006105B2"/>
    <w:rsid w:val="0062168B"/>
    <w:rsid w:val="006315BB"/>
    <w:rsid w:val="00644B31"/>
    <w:rsid w:val="00651508"/>
    <w:rsid w:val="006673B4"/>
    <w:rsid w:val="006772C1"/>
    <w:rsid w:val="00695DC1"/>
    <w:rsid w:val="00696728"/>
    <w:rsid w:val="006967C8"/>
    <w:rsid w:val="006B0BDA"/>
    <w:rsid w:val="006C15FE"/>
    <w:rsid w:val="006C1A2C"/>
    <w:rsid w:val="006F0B61"/>
    <w:rsid w:val="006F43E7"/>
    <w:rsid w:val="006F7AA9"/>
    <w:rsid w:val="00702678"/>
    <w:rsid w:val="00706FA4"/>
    <w:rsid w:val="00756A3E"/>
    <w:rsid w:val="00767D4D"/>
    <w:rsid w:val="00785518"/>
    <w:rsid w:val="007A0C51"/>
    <w:rsid w:val="007C5FAA"/>
    <w:rsid w:val="007D54C2"/>
    <w:rsid w:val="007E268F"/>
    <w:rsid w:val="007F3D0A"/>
    <w:rsid w:val="007F6DE0"/>
    <w:rsid w:val="00803339"/>
    <w:rsid w:val="0080779E"/>
    <w:rsid w:val="008251E1"/>
    <w:rsid w:val="00841A27"/>
    <w:rsid w:val="00843772"/>
    <w:rsid w:val="00844EE6"/>
    <w:rsid w:val="008632A2"/>
    <w:rsid w:val="008847E4"/>
    <w:rsid w:val="0089727B"/>
    <w:rsid w:val="008B3111"/>
    <w:rsid w:val="008D579F"/>
    <w:rsid w:val="00905130"/>
    <w:rsid w:val="00906BC2"/>
    <w:rsid w:val="009206B7"/>
    <w:rsid w:val="009232F6"/>
    <w:rsid w:val="00924153"/>
    <w:rsid w:val="009257C1"/>
    <w:rsid w:val="009503D4"/>
    <w:rsid w:val="00955F55"/>
    <w:rsid w:val="009A7D77"/>
    <w:rsid w:val="009B1AEA"/>
    <w:rsid w:val="009D4978"/>
    <w:rsid w:val="009D4B7F"/>
    <w:rsid w:val="009D7795"/>
    <w:rsid w:val="009E0E51"/>
    <w:rsid w:val="009E2054"/>
    <w:rsid w:val="009E6FB7"/>
    <w:rsid w:val="009F64AF"/>
    <w:rsid w:val="00A018EB"/>
    <w:rsid w:val="00A03DA7"/>
    <w:rsid w:val="00A1182A"/>
    <w:rsid w:val="00A1766B"/>
    <w:rsid w:val="00A3147A"/>
    <w:rsid w:val="00A46803"/>
    <w:rsid w:val="00A56E1F"/>
    <w:rsid w:val="00A6106F"/>
    <w:rsid w:val="00A636BA"/>
    <w:rsid w:val="00A7357A"/>
    <w:rsid w:val="00A767AB"/>
    <w:rsid w:val="00A77A51"/>
    <w:rsid w:val="00A86319"/>
    <w:rsid w:val="00A96421"/>
    <w:rsid w:val="00A96EE6"/>
    <w:rsid w:val="00AA6957"/>
    <w:rsid w:val="00AC06AD"/>
    <w:rsid w:val="00AD4056"/>
    <w:rsid w:val="00AE7215"/>
    <w:rsid w:val="00AE7F53"/>
    <w:rsid w:val="00AF33BD"/>
    <w:rsid w:val="00B11BDA"/>
    <w:rsid w:val="00B20B7F"/>
    <w:rsid w:val="00B21881"/>
    <w:rsid w:val="00B374D8"/>
    <w:rsid w:val="00B43164"/>
    <w:rsid w:val="00B431C9"/>
    <w:rsid w:val="00B46681"/>
    <w:rsid w:val="00B5390C"/>
    <w:rsid w:val="00B56065"/>
    <w:rsid w:val="00B633B0"/>
    <w:rsid w:val="00B655F4"/>
    <w:rsid w:val="00B763A5"/>
    <w:rsid w:val="00B87376"/>
    <w:rsid w:val="00BA2E78"/>
    <w:rsid w:val="00BB1CAF"/>
    <w:rsid w:val="00BC2F5D"/>
    <w:rsid w:val="00BC7E09"/>
    <w:rsid w:val="00BD5A3B"/>
    <w:rsid w:val="00BD73D2"/>
    <w:rsid w:val="00BE0D6D"/>
    <w:rsid w:val="00BE43B5"/>
    <w:rsid w:val="00BF05F4"/>
    <w:rsid w:val="00C6483B"/>
    <w:rsid w:val="00C667AC"/>
    <w:rsid w:val="00C731E8"/>
    <w:rsid w:val="00C927C9"/>
    <w:rsid w:val="00CA6394"/>
    <w:rsid w:val="00CB7B3B"/>
    <w:rsid w:val="00CC4DC7"/>
    <w:rsid w:val="00CD1872"/>
    <w:rsid w:val="00CD1AED"/>
    <w:rsid w:val="00CD1D43"/>
    <w:rsid w:val="00CD6BCB"/>
    <w:rsid w:val="00D028F6"/>
    <w:rsid w:val="00D066D3"/>
    <w:rsid w:val="00D27FD9"/>
    <w:rsid w:val="00D30E71"/>
    <w:rsid w:val="00D378F7"/>
    <w:rsid w:val="00D41FD0"/>
    <w:rsid w:val="00D7713D"/>
    <w:rsid w:val="00D86600"/>
    <w:rsid w:val="00D9488A"/>
    <w:rsid w:val="00DA7EFC"/>
    <w:rsid w:val="00DC4492"/>
    <w:rsid w:val="00DC7AA1"/>
    <w:rsid w:val="00DD1FED"/>
    <w:rsid w:val="00DD4549"/>
    <w:rsid w:val="00DE03A9"/>
    <w:rsid w:val="00DE5DD3"/>
    <w:rsid w:val="00DE65B8"/>
    <w:rsid w:val="00E055F4"/>
    <w:rsid w:val="00E11F5F"/>
    <w:rsid w:val="00E350C7"/>
    <w:rsid w:val="00E72F60"/>
    <w:rsid w:val="00E76F0A"/>
    <w:rsid w:val="00E87986"/>
    <w:rsid w:val="00E9172A"/>
    <w:rsid w:val="00EA74CA"/>
    <w:rsid w:val="00EB4467"/>
    <w:rsid w:val="00EE5FE3"/>
    <w:rsid w:val="00EF2929"/>
    <w:rsid w:val="00EF4A1D"/>
    <w:rsid w:val="00F01694"/>
    <w:rsid w:val="00F1290C"/>
    <w:rsid w:val="00F23500"/>
    <w:rsid w:val="00F5409F"/>
    <w:rsid w:val="00F572C2"/>
    <w:rsid w:val="00F63E00"/>
    <w:rsid w:val="00F666C3"/>
    <w:rsid w:val="00F669C6"/>
    <w:rsid w:val="00F75EF3"/>
    <w:rsid w:val="00F81948"/>
    <w:rsid w:val="00FA037B"/>
    <w:rsid w:val="00FA31ED"/>
    <w:rsid w:val="00FB48FF"/>
    <w:rsid w:val="00FB5BCA"/>
    <w:rsid w:val="00FB68BD"/>
    <w:rsid w:val="00FD2D33"/>
    <w:rsid w:val="00FD4D52"/>
    <w:rsid w:val="00FD532F"/>
    <w:rsid w:val="00FD799A"/>
    <w:rsid w:val="00FE0C90"/>
    <w:rsid w:val="00FE3329"/>
    <w:rsid w:val="00FE64BB"/>
    <w:rsid w:val="01AC2DDE"/>
    <w:rsid w:val="04831F52"/>
    <w:rsid w:val="06FD007A"/>
    <w:rsid w:val="0A164C9A"/>
    <w:rsid w:val="0ADD6C61"/>
    <w:rsid w:val="0C695DAE"/>
    <w:rsid w:val="0F602A41"/>
    <w:rsid w:val="11193219"/>
    <w:rsid w:val="12A339C1"/>
    <w:rsid w:val="14962256"/>
    <w:rsid w:val="14F0012F"/>
    <w:rsid w:val="15795173"/>
    <w:rsid w:val="16E45EDF"/>
    <w:rsid w:val="1AA117E5"/>
    <w:rsid w:val="1AF85909"/>
    <w:rsid w:val="1C045905"/>
    <w:rsid w:val="1CF35DC9"/>
    <w:rsid w:val="1EEE40CF"/>
    <w:rsid w:val="1F43343F"/>
    <w:rsid w:val="201144C5"/>
    <w:rsid w:val="225678E3"/>
    <w:rsid w:val="24936E8E"/>
    <w:rsid w:val="25170545"/>
    <w:rsid w:val="27553072"/>
    <w:rsid w:val="27E758D7"/>
    <w:rsid w:val="28581EEC"/>
    <w:rsid w:val="2B523868"/>
    <w:rsid w:val="2EB775B3"/>
    <w:rsid w:val="2F040BDA"/>
    <w:rsid w:val="31A4347E"/>
    <w:rsid w:val="32471FCF"/>
    <w:rsid w:val="34C30671"/>
    <w:rsid w:val="35900570"/>
    <w:rsid w:val="35BD6AB6"/>
    <w:rsid w:val="36FD4EC4"/>
    <w:rsid w:val="37846422"/>
    <w:rsid w:val="37B13A6E"/>
    <w:rsid w:val="384D12B1"/>
    <w:rsid w:val="38796997"/>
    <w:rsid w:val="39CE0565"/>
    <w:rsid w:val="3A105D0A"/>
    <w:rsid w:val="3D035BC0"/>
    <w:rsid w:val="3D38727D"/>
    <w:rsid w:val="3DFF7BC0"/>
    <w:rsid w:val="3E3F202E"/>
    <w:rsid w:val="3F2A54AE"/>
    <w:rsid w:val="405D23A8"/>
    <w:rsid w:val="406316EF"/>
    <w:rsid w:val="40DF7EAF"/>
    <w:rsid w:val="41866352"/>
    <w:rsid w:val="41C23BF3"/>
    <w:rsid w:val="421922FE"/>
    <w:rsid w:val="42B94406"/>
    <w:rsid w:val="42E66407"/>
    <w:rsid w:val="42F25864"/>
    <w:rsid w:val="446353C4"/>
    <w:rsid w:val="4474334A"/>
    <w:rsid w:val="448C37F4"/>
    <w:rsid w:val="44CD05ED"/>
    <w:rsid w:val="474D0963"/>
    <w:rsid w:val="47ED7291"/>
    <w:rsid w:val="48BF1628"/>
    <w:rsid w:val="498C2A5B"/>
    <w:rsid w:val="49AA7903"/>
    <w:rsid w:val="49F67359"/>
    <w:rsid w:val="4A133DE0"/>
    <w:rsid w:val="4A931656"/>
    <w:rsid w:val="4BC07407"/>
    <w:rsid w:val="4C267078"/>
    <w:rsid w:val="4D5258DE"/>
    <w:rsid w:val="4D8B7CDD"/>
    <w:rsid w:val="50E52447"/>
    <w:rsid w:val="513D245A"/>
    <w:rsid w:val="54934C89"/>
    <w:rsid w:val="55CA5232"/>
    <w:rsid w:val="56CC14F3"/>
    <w:rsid w:val="576A2817"/>
    <w:rsid w:val="57F80C60"/>
    <w:rsid w:val="59E52A0A"/>
    <w:rsid w:val="5AEA6A34"/>
    <w:rsid w:val="5B5A211B"/>
    <w:rsid w:val="5D9A631E"/>
    <w:rsid w:val="5F5F3310"/>
    <w:rsid w:val="5F656259"/>
    <w:rsid w:val="60033174"/>
    <w:rsid w:val="629C76D5"/>
    <w:rsid w:val="64C25614"/>
    <w:rsid w:val="668A1EC9"/>
    <w:rsid w:val="67130C8A"/>
    <w:rsid w:val="68EB1011"/>
    <w:rsid w:val="699121C1"/>
    <w:rsid w:val="6A11270F"/>
    <w:rsid w:val="6A270136"/>
    <w:rsid w:val="6A9653EA"/>
    <w:rsid w:val="6C9A7BBB"/>
    <w:rsid w:val="6D336AB4"/>
    <w:rsid w:val="6DF71AEA"/>
    <w:rsid w:val="6EE1756F"/>
    <w:rsid w:val="70ED20D3"/>
    <w:rsid w:val="71390A9D"/>
    <w:rsid w:val="724625C6"/>
    <w:rsid w:val="73DA71C7"/>
    <w:rsid w:val="75E37678"/>
    <w:rsid w:val="76BE285E"/>
    <w:rsid w:val="7B882E84"/>
    <w:rsid w:val="7DFE66C3"/>
    <w:rsid w:val="7ED5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ACE5CA"/>
  <w15:docId w15:val="{BA920933-C774-494B-BA15-0BC11DEE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000000"/>
      <w:u w:val="none"/>
    </w:rPr>
  </w:style>
  <w:style w:type="character" w:styleId="aa">
    <w:name w:val="Hyperlink"/>
    <w:basedOn w:val="a0"/>
    <w:qFormat/>
    <w:rPr>
      <w:color w:val="000000"/>
      <w:u w:val="non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Verdana" w:hAnsi="Verdana" w:cs="Verdana" w:hint="default"/>
      <w:color w:val="333333"/>
      <w:sz w:val="18"/>
      <w:szCs w:val="18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tna-s">
    <w:name w:val="btna-s"/>
    <w:basedOn w:val="a0"/>
    <w:qFormat/>
    <w:rPr>
      <w:color w:val="FFFFFF"/>
      <w:u w:val="none"/>
    </w:rPr>
  </w:style>
  <w:style w:type="character" w:customStyle="1" w:styleId="btna-s1">
    <w:name w:val="btna-s1"/>
    <w:basedOn w:val="a0"/>
    <w:qFormat/>
    <w:rPr>
      <w:color w:val="FFFFFF"/>
      <w:u w:val="none"/>
    </w:rPr>
  </w:style>
  <w:style w:type="character" w:customStyle="1" w:styleId="btna-s2">
    <w:name w:val="btna-s2"/>
    <w:basedOn w:val="a0"/>
    <w:qFormat/>
    <w:rPr>
      <w:color w:val="FFFFFF"/>
      <w:u w:val="none"/>
    </w:rPr>
  </w:style>
  <w:style w:type="character" w:customStyle="1" w:styleId="btna-s3">
    <w:name w:val="btna-s3"/>
    <w:basedOn w:val="a0"/>
    <w:qFormat/>
    <w:rPr>
      <w:color w:val="FFFFFF"/>
      <w:u w:val="none"/>
    </w:rPr>
  </w:style>
  <w:style w:type="character" w:customStyle="1" w:styleId="btna-s4">
    <w:name w:val="btna-s4"/>
    <w:basedOn w:val="a0"/>
    <w:qFormat/>
    <w:rPr>
      <w:color w:val="0068B7"/>
      <w:u w:val="none"/>
    </w:rPr>
  </w:style>
  <w:style w:type="character" w:customStyle="1" w:styleId="btna-s5">
    <w:name w:val="btna-s5"/>
    <w:basedOn w:val="a0"/>
    <w:qFormat/>
    <w:rPr>
      <w:color w:val="FFFFFF"/>
      <w:u w:val="none"/>
    </w:rPr>
  </w:style>
  <w:style w:type="character" w:customStyle="1" w:styleId="btna-s6">
    <w:name w:val="btna-s6"/>
    <w:basedOn w:val="a0"/>
    <w:qFormat/>
    <w:rPr>
      <w:color w:val="FFFFFF"/>
      <w:u w:val="none"/>
    </w:rPr>
  </w:style>
  <w:style w:type="character" w:customStyle="1" w:styleId="btna-s7">
    <w:name w:val="btna-s7"/>
    <w:basedOn w:val="a0"/>
    <w:qFormat/>
    <w:rPr>
      <w:color w:val="FFFFFF"/>
      <w:u w:val="none"/>
    </w:rPr>
  </w:style>
  <w:style w:type="character" w:customStyle="1" w:styleId="btna-s8">
    <w:name w:val="btna-s8"/>
    <w:basedOn w:val="a0"/>
    <w:qFormat/>
    <w:rPr>
      <w:color w:val="FFFFFF"/>
      <w:u w:val="none"/>
    </w:rPr>
  </w:style>
  <w:style w:type="character" w:customStyle="1" w:styleId="btna-s9">
    <w:name w:val="btna-s9"/>
    <w:basedOn w:val="a0"/>
    <w:qFormat/>
    <w:rPr>
      <w:color w:val="FFFFFF"/>
      <w:u w:val="none"/>
    </w:rPr>
  </w:style>
  <w:style w:type="character" w:customStyle="1" w:styleId="btna-s10">
    <w:name w:val="btna-s10"/>
    <w:basedOn w:val="a0"/>
    <w:qFormat/>
    <w:rPr>
      <w:u w:val="none"/>
    </w:rPr>
  </w:style>
  <w:style w:type="character" w:customStyle="1" w:styleId="btna-s11">
    <w:name w:val="btna-s11"/>
    <w:basedOn w:val="a0"/>
    <w:qFormat/>
    <w:rPr>
      <w:color w:val="666666"/>
      <w:u w:val="none"/>
    </w:rPr>
  </w:style>
  <w:style w:type="character" w:customStyle="1" w:styleId="btna-s12">
    <w:name w:val="btna-s12"/>
    <w:basedOn w:val="a0"/>
    <w:qFormat/>
    <w:rPr>
      <w:color w:val="000000"/>
      <w:u w:val="none"/>
    </w:rPr>
  </w:style>
  <w:style w:type="character" w:customStyle="1" w:styleId="btna-s13">
    <w:name w:val="btna-s13"/>
    <w:basedOn w:val="a0"/>
    <w:qFormat/>
    <w:rPr>
      <w:color w:val="FFFFFF"/>
      <w:u w:val="none"/>
    </w:rPr>
  </w:style>
  <w:style w:type="character" w:customStyle="1" w:styleId="btna-s14">
    <w:name w:val="btna-s14"/>
    <w:basedOn w:val="a0"/>
    <w:qFormat/>
    <w:rPr>
      <w:color w:val="000000"/>
      <w:u w:val="none"/>
    </w:rPr>
  </w:style>
  <w:style w:type="character" w:customStyle="1" w:styleId="morelink9">
    <w:name w:val="morelink9"/>
    <w:basedOn w:val="a0"/>
    <w:qFormat/>
  </w:style>
  <w:style w:type="character" w:customStyle="1" w:styleId="current">
    <w:name w:val="current"/>
    <w:basedOn w:val="a0"/>
    <w:qFormat/>
    <w:rPr>
      <w:b/>
      <w:color w:val="000000"/>
      <w:bdr w:val="single" w:sz="6" w:space="0" w:color="E89954"/>
      <w:shd w:val="clear" w:color="auto" w:fill="E89954"/>
    </w:rPr>
  </w:style>
  <w:style w:type="character" w:customStyle="1" w:styleId="disabled2">
    <w:name w:val="disabled2"/>
    <w:basedOn w:val="a0"/>
    <w:qFormat/>
    <w:rPr>
      <w:color w:val="CCCCCC"/>
      <w:bdr w:val="single" w:sz="6" w:space="0" w:color="CCCCCC"/>
    </w:rPr>
  </w:style>
  <w:style w:type="character" w:customStyle="1" w:styleId="extendlink16">
    <w:name w:val="extendlink16"/>
    <w:basedOn w:val="a0"/>
    <w:qFormat/>
    <w:rPr>
      <w:sz w:val="18"/>
      <w:szCs w:val="18"/>
    </w:rPr>
  </w:style>
  <w:style w:type="character" w:customStyle="1" w:styleId="extendlink17">
    <w:name w:val="extendlink17"/>
    <w:basedOn w:val="a0"/>
    <w:qFormat/>
    <w:rPr>
      <w:sz w:val="18"/>
      <w:szCs w:val="18"/>
    </w:rPr>
  </w:style>
  <w:style w:type="character" w:customStyle="1" w:styleId="extendlink18">
    <w:name w:val="extendlink18"/>
    <w:basedOn w:val="a0"/>
    <w:qFormat/>
    <w:rPr>
      <w:sz w:val="18"/>
      <w:szCs w:val="18"/>
    </w:rPr>
  </w:style>
  <w:style w:type="character" w:customStyle="1" w:styleId="extendlink19">
    <w:name w:val="extendlink19"/>
    <w:basedOn w:val="a0"/>
    <w:qFormat/>
    <w:rPr>
      <w:sz w:val="18"/>
      <w:szCs w:val="18"/>
    </w:rPr>
  </w:style>
  <w:style w:type="character" w:customStyle="1" w:styleId="extendlink20">
    <w:name w:val="extendlink20"/>
    <w:basedOn w:val="a0"/>
    <w:qFormat/>
    <w:rPr>
      <w:sz w:val="18"/>
      <w:szCs w:val="18"/>
    </w:rPr>
  </w:style>
  <w:style w:type="character" w:customStyle="1" w:styleId="extendlink21">
    <w:name w:val="extendlink21"/>
    <w:basedOn w:val="a0"/>
    <w:qFormat/>
    <w:rPr>
      <w:sz w:val="18"/>
      <w:szCs w:val="18"/>
    </w:rPr>
  </w:style>
  <w:style w:type="character" w:customStyle="1" w:styleId="extendlink22">
    <w:name w:val="extendlink22"/>
    <w:basedOn w:val="a0"/>
    <w:qFormat/>
    <w:rPr>
      <w:sz w:val="18"/>
      <w:szCs w:val="18"/>
    </w:rPr>
  </w:style>
  <w:style w:type="character" w:customStyle="1" w:styleId="extendlink23">
    <w:name w:val="extendlink23"/>
    <w:basedOn w:val="a0"/>
    <w:qFormat/>
    <w:rPr>
      <w:sz w:val="18"/>
      <w:szCs w:val="18"/>
    </w:rPr>
  </w:style>
  <w:style w:type="character" w:customStyle="1" w:styleId="disabled">
    <w:name w:val="disabled"/>
    <w:basedOn w:val="a0"/>
    <w:qFormat/>
    <w:rPr>
      <w:color w:val="CCCCCC"/>
      <w:bdr w:val="single" w:sz="6" w:space="0" w:color="CCCCCC"/>
    </w:rPr>
  </w:style>
  <w:style w:type="character" w:customStyle="1" w:styleId="current2">
    <w:name w:val="current2"/>
    <w:basedOn w:val="a0"/>
    <w:qFormat/>
    <w:rPr>
      <w:b/>
      <w:color w:val="000000"/>
      <w:bdr w:val="single" w:sz="6" w:space="0" w:color="E89954"/>
      <w:shd w:val="clear" w:color="auto" w:fill="E89954"/>
    </w:rPr>
  </w:style>
  <w:style w:type="character" w:customStyle="1" w:styleId="morelink">
    <w:name w:val="morelink"/>
    <w:basedOn w:val="a0"/>
    <w:qFormat/>
  </w:style>
  <w:style w:type="character" w:customStyle="1" w:styleId="morelink1">
    <w:name w:val="morelink1"/>
    <w:basedOn w:val="a0"/>
    <w:qFormat/>
  </w:style>
  <w:style w:type="character" w:customStyle="1" w:styleId="morelink2">
    <w:name w:val="morelink2"/>
    <w:basedOn w:val="a0"/>
    <w:qFormat/>
  </w:style>
  <w:style w:type="character" w:customStyle="1" w:styleId="morelink3">
    <w:name w:val="morelink3"/>
    <w:basedOn w:val="a0"/>
    <w:qFormat/>
  </w:style>
  <w:style w:type="character" w:customStyle="1" w:styleId="morelink4">
    <w:name w:val="morelink4"/>
    <w:basedOn w:val="a0"/>
    <w:qFormat/>
  </w:style>
  <w:style w:type="character" w:customStyle="1" w:styleId="morelink5">
    <w:name w:val="morelink5"/>
    <w:basedOn w:val="a0"/>
    <w:qFormat/>
  </w:style>
  <w:style w:type="character" w:customStyle="1" w:styleId="morelink6">
    <w:name w:val="morelink6"/>
    <w:basedOn w:val="a0"/>
    <w:qFormat/>
  </w:style>
  <w:style w:type="character" w:customStyle="1" w:styleId="morelink7">
    <w:name w:val="morelink7"/>
    <w:basedOn w:val="a0"/>
    <w:qFormat/>
  </w:style>
  <w:style w:type="paragraph" w:styleId="ab">
    <w:name w:val="Balloon Text"/>
    <w:basedOn w:val="a"/>
    <w:link w:val="ac"/>
    <w:semiHidden/>
    <w:unhideWhenUsed/>
    <w:rsid w:val="00CD1872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CD1872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Placeholder Text"/>
    <w:basedOn w:val="a0"/>
    <w:uiPriority w:val="99"/>
    <w:semiHidden/>
    <w:rsid w:val="00F23500"/>
    <w:rPr>
      <w:color w:val="808080"/>
    </w:rPr>
  </w:style>
  <w:style w:type="character" w:styleId="ae">
    <w:name w:val="annotation reference"/>
    <w:basedOn w:val="a0"/>
    <w:semiHidden/>
    <w:unhideWhenUsed/>
    <w:rsid w:val="00321D92"/>
    <w:rPr>
      <w:sz w:val="21"/>
      <w:szCs w:val="21"/>
    </w:rPr>
  </w:style>
  <w:style w:type="paragraph" w:styleId="af">
    <w:name w:val="annotation text"/>
    <w:basedOn w:val="a"/>
    <w:link w:val="af0"/>
    <w:semiHidden/>
    <w:unhideWhenUsed/>
    <w:rsid w:val="00321D92"/>
    <w:pPr>
      <w:jc w:val="left"/>
    </w:pPr>
  </w:style>
  <w:style w:type="character" w:customStyle="1" w:styleId="af0">
    <w:name w:val="批注文字 字符"/>
    <w:basedOn w:val="a0"/>
    <w:link w:val="af"/>
    <w:semiHidden/>
    <w:rsid w:val="00321D92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321D92"/>
    <w:rPr>
      <w:b/>
      <w:bCs/>
    </w:rPr>
  </w:style>
  <w:style w:type="character" w:customStyle="1" w:styleId="af2">
    <w:name w:val="批注主题 字符"/>
    <w:basedOn w:val="af0"/>
    <w:link w:val="af1"/>
    <w:semiHidden/>
    <w:rsid w:val="00321D92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64DCE1-9253-45A3-B1A0-9C2A805C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w142903</dc:creator>
  <cp:lastModifiedBy>Administrator</cp:lastModifiedBy>
  <cp:revision>157</cp:revision>
  <dcterms:created xsi:type="dcterms:W3CDTF">2021-05-15T06:55:00Z</dcterms:created>
  <dcterms:modified xsi:type="dcterms:W3CDTF">2021-07-30T01:36:00Z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